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684E" w14:textId="4C99B495" w:rsidR="009565BA" w:rsidRPr="00586E61" w:rsidRDefault="00B63890" w:rsidP="00586E61">
      <w:pPr>
        <w:jc w:val="center"/>
        <w:rPr>
          <w:rFonts w:cs="AdvertisingBold"/>
          <w:sz w:val="44"/>
          <w:szCs w:val="44"/>
          <w:rtl/>
        </w:rPr>
      </w:pPr>
      <w:r w:rsidRPr="00586E61">
        <w:rPr>
          <w:rFonts w:cs="AdvertisingBold" w:hint="cs"/>
          <w:sz w:val="44"/>
          <w:szCs w:val="44"/>
          <w:rtl/>
        </w:rPr>
        <w:t>التقديم والتأخير</w:t>
      </w:r>
      <w:r w:rsidR="00586E61" w:rsidRPr="00586E61">
        <w:rPr>
          <w:rFonts w:cs="AdvertisingBold" w:hint="cs"/>
          <w:sz w:val="44"/>
          <w:szCs w:val="44"/>
          <w:rtl/>
        </w:rPr>
        <w:t xml:space="preserve"> في القرآن</w:t>
      </w:r>
    </w:p>
    <w:p w14:paraId="3A69AFD7" w14:textId="165AADE9" w:rsidR="00790AB9" w:rsidRDefault="00790AB9" w:rsidP="00586E61">
      <w:pPr>
        <w:jc w:val="center"/>
        <w:rPr>
          <w:rFonts w:cs="AdvertisingBold"/>
          <w:rtl/>
        </w:rPr>
      </w:pPr>
      <w:r w:rsidRPr="00586E61">
        <w:rPr>
          <w:rFonts w:cs="AdvertisingBold" w:hint="cs"/>
          <w:rtl/>
        </w:rPr>
        <w:t>(سرادقها)</w:t>
      </w:r>
    </w:p>
    <w:p w14:paraId="2FCE7998" w14:textId="1F1B8DAB" w:rsidR="00586E61" w:rsidRDefault="00586E61" w:rsidP="008C386B">
      <w:pPr>
        <w:jc w:val="both"/>
        <w:rPr>
          <w:rFonts w:cs="AdvertisingBold"/>
          <w:rtl/>
        </w:rPr>
      </w:pPr>
    </w:p>
    <w:p w14:paraId="08CBC206" w14:textId="760DD106" w:rsidR="00344409" w:rsidRPr="005F020E" w:rsidRDefault="00344409" w:rsidP="008C386B">
      <w:pPr>
        <w:autoSpaceDE w:val="0"/>
        <w:autoSpaceDN w:val="0"/>
        <w:adjustRightInd w:val="0"/>
        <w:ind w:firstLine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rtl/>
        </w:rPr>
      </w:pPr>
      <w:r w:rsidRPr="005F020E">
        <w:rPr>
          <w:rFonts w:ascii="Traditional Arabic" w:hAnsi="Traditional Arabic" w:cs="Traditional Arabic" w:hint="cs"/>
          <w:b/>
          <w:bCs/>
          <w:color w:val="000000" w:themeColor="text1"/>
          <w:sz w:val="36"/>
          <w:rtl/>
        </w:rPr>
        <w:t>{</w:t>
      </w:r>
      <w:r w:rsidRPr="005F020E">
        <w:rPr>
          <w:rFonts w:ascii="Traditional Arabic" w:hAnsi="Traditional Arabic" w:cs="Traditional Arabic"/>
          <w:b/>
          <w:bCs/>
          <w:color w:val="000000" w:themeColor="text1"/>
          <w:sz w:val="36"/>
          <w:rtl/>
        </w:rPr>
        <w:t xml:space="preserve">وَقُلِ الْحَقُّ مِنْ رَبِّكُمْ فَمَنْ شَاءَ فَلْيُؤْمِنْ وَمَنْ شَاءَ فَلْيَكْفُرْ </w:t>
      </w:r>
      <w:r w:rsidRPr="005F020E">
        <w:rPr>
          <w:rFonts w:ascii="Traditional Arabic" w:hAnsi="Traditional Arabic" w:cs="Traditional Arabic"/>
          <w:b/>
          <w:bCs/>
          <w:color w:val="000000" w:themeColor="text1"/>
          <w:sz w:val="36"/>
          <w:u w:val="single"/>
          <w:rtl/>
        </w:rPr>
        <w:t xml:space="preserve">إِنَّا أَعْتَدْنَا لِلظَّالِمِينَ نَارًا أَحَاطَ بِهِمْ سُرَادِقُهَا </w:t>
      </w:r>
      <w:r w:rsidRPr="005F020E">
        <w:rPr>
          <w:rFonts w:ascii="Traditional Arabic" w:hAnsi="Traditional Arabic" w:cs="Traditional Arabic"/>
          <w:b/>
          <w:bCs/>
          <w:color w:val="000000" w:themeColor="text1"/>
          <w:sz w:val="36"/>
          <w:rtl/>
        </w:rPr>
        <w:t>وَإِنْ يَسْتَغِيثُوا يُغَاثُوا بِمَاءٍ كَالْمُهْلِ يَشْوِي الْوُجُوهَ بِئْسَ الشَّرَابُ وَسَاءَتْ مُرْتَفَقًا</w:t>
      </w:r>
      <w:r w:rsidRPr="005F020E">
        <w:rPr>
          <w:rFonts w:ascii="Traditional Arabic" w:hAnsi="Traditional Arabic" w:cs="Traditional Arabic" w:hint="cs"/>
          <w:b/>
          <w:bCs/>
          <w:color w:val="000000" w:themeColor="text1"/>
          <w:sz w:val="36"/>
          <w:rtl/>
        </w:rPr>
        <w:t>} [سورة الكهف: 29]</w:t>
      </w:r>
      <w:r w:rsidR="00694C9A">
        <w:rPr>
          <w:rFonts w:ascii="Traditional Arabic" w:hAnsi="Traditional Arabic" w:cs="Traditional Arabic" w:hint="cs"/>
          <w:b/>
          <w:bCs/>
          <w:color w:val="000000" w:themeColor="text1"/>
          <w:sz w:val="36"/>
          <w:rtl/>
        </w:rPr>
        <w:t>.</w:t>
      </w:r>
    </w:p>
    <w:p w14:paraId="7F169D9A" w14:textId="21A91DE6" w:rsidR="00586E61" w:rsidRDefault="00586E61" w:rsidP="008C386B">
      <w:pPr>
        <w:jc w:val="both"/>
        <w:rPr>
          <w:rFonts w:cs="AdvertisingBold"/>
          <w:rtl/>
        </w:rPr>
      </w:pPr>
    </w:p>
    <w:p w14:paraId="6FECCB41" w14:textId="30BD47E2" w:rsidR="00586E61" w:rsidRDefault="001D6A19" w:rsidP="008C386B">
      <w:pPr>
        <w:jc w:val="both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تقدم الجار والمجرور (بهم) على الفاعل (سرادقها)، وذلك تأكيدًا للتهديد</w:t>
      </w:r>
      <w:r w:rsidR="00A45E3B">
        <w:rPr>
          <w:rFonts w:ascii="Traditional Arabic" w:hAnsi="Traditional Arabic" w:cs="Traditional Arabic" w:hint="cs"/>
          <w:rtl/>
        </w:rPr>
        <w:t xml:space="preserve"> والزجر عن الكفر، وزيادة </w:t>
      </w:r>
      <w:r w:rsidR="00147A91">
        <w:rPr>
          <w:rFonts w:ascii="Traditional Arabic" w:hAnsi="Traditional Arabic" w:cs="Traditional Arabic" w:hint="cs"/>
          <w:rtl/>
        </w:rPr>
        <w:t>ل</w:t>
      </w:r>
      <w:r w:rsidR="00A45E3B">
        <w:rPr>
          <w:rFonts w:ascii="Traditional Arabic" w:hAnsi="Traditional Arabic" w:cs="Traditional Arabic" w:hint="cs"/>
          <w:rtl/>
        </w:rPr>
        <w:t>لتخويف، وللفعل أحاط هنا دلالة حركية حسية هي الالتفاف والدوران</w:t>
      </w:r>
      <w:r w:rsidR="00023F45">
        <w:rPr>
          <w:rFonts w:ascii="Traditional Arabic" w:hAnsi="Traditional Arabic" w:cs="Traditional Arabic" w:hint="cs"/>
          <w:rtl/>
        </w:rPr>
        <w:t>، والفاعل هو السرادق، وهو في اللسان: "كل ما أحاط بشيء من حائط أو مِضْرَب أو خباء"</w:t>
      </w:r>
      <w:r w:rsidR="00657EA7" w:rsidRPr="00657EA7">
        <w:rPr>
          <w:rFonts w:ascii="Traditional Arabic" w:hAnsi="Traditional Arabic" w:cs="Traditional Arabic" w:hint="cs"/>
          <w:vertAlign w:val="superscript"/>
          <w:rtl/>
        </w:rPr>
        <w:t>(</w:t>
      </w:r>
      <w:r w:rsidR="00636DA3" w:rsidRPr="00657EA7">
        <w:rPr>
          <w:rStyle w:val="a5"/>
          <w:rFonts w:ascii="Traditional Arabic" w:hAnsi="Traditional Arabic"/>
          <w:vertAlign w:val="superscript"/>
          <w:rtl/>
        </w:rPr>
        <w:footnoteReference w:id="1"/>
      </w:r>
      <w:r w:rsidR="00657EA7" w:rsidRPr="00657EA7">
        <w:rPr>
          <w:rFonts w:ascii="Traditional Arabic" w:hAnsi="Traditional Arabic" w:cs="Traditional Arabic" w:hint="cs"/>
          <w:vertAlign w:val="superscript"/>
          <w:rtl/>
        </w:rPr>
        <w:t>)</w:t>
      </w:r>
      <w:r w:rsidR="00BB7700">
        <w:rPr>
          <w:rFonts w:ascii="Traditional Arabic" w:hAnsi="Traditional Arabic" w:cs="Traditional Arabic" w:hint="cs"/>
          <w:rtl/>
        </w:rPr>
        <w:t>، و"قيل عنه في الآية</w:t>
      </w:r>
      <w:r w:rsidR="00AE5382">
        <w:rPr>
          <w:rFonts w:ascii="Traditional Arabic" w:hAnsi="Traditional Arabic" w:cs="Traditional Arabic" w:hint="cs"/>
          <w:rtl/>
        </w:rPr>
        <w:t>: هو دخان يحيط بالكفار قبل دخولهم النار، وقيل: حائط من نار يطيف بهم"</w:t>
      </w:r>
      <w:r w:rsidR="00657EA7" w:rsidRPr="00657EA7">
        <w:rPr>
          <w:rFonts w:ascii="Traditional Arabic" w:hAnsi="Traditional Arabic" w:cs="Traditional Arabic" w:hint="cs"/>
          <w:vertAlign w:val="superscript"/>
          <w:rtl/>
        </w:rPr>
        <w:t>(</w:t>
      </w:r>
      <w:r w:rsidR="00636DA3" w:rsidRPr="00657EA7">
        <w:rPr>
          <w:rStyle w:val="a5"/>
          <w:rFonts w:ascii="Traditional Arabic" w:hAnsi="Traditional Arabic"/>
          <w:vertAlign w:val="superscript"/>
          <w:rtl/>
        </w:rPr>
        <w:footnoteReference w:id="2"/>
      </w:r>
      <w:r w:rsidR="00657EA7" w:rsidRPr="00657EA7">
        <w:rPr>
          <w:rFonts w:ascii="Traditional Arabic" w:hAnsi="Traditional Arabic" w:cs="Traditional Arabic" w:hint="cs"/>
          <w:vertAlign w:val="superscript"/>
          <w:rtl/>
        </w:rPr>
        <w:t>)</w:t>
      </w:r>
      <w:r w:rsidR="00AE5382">
        <w:rPr>
          <w:rFonts w:ascii="Traditional Arabic" w:hAnsi="Traditional Arabic" w:cs="Traditional Arabic" w:hint="cs"/>
          <w:rtl/>
        </w:rPr>
        <w:t>.</w:t>
      </w:r>
    </w:p>
    <w:p w14:paraId="4910FF0C" w14:textId="22613511" w:rsidR="00AE5382" w:rsidRDefault="00AE5382" w:rsidP="008C386B">
      <w:pPr>
        <w:jc w:val="both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وعلى ذلك </w:t>
      </w:r>
      <w:r w:rsidRPr="00F528D8">
        <w:rPr>
          <w:rFonts w:ascii="Traditional Arabic" w:hAnsi="Traditional Arabic" w:cs="Traditional Arabic" w:hint="cs"/>
          <w:u w:val="dotted"/>
          <w:rtl/>
        </w:rPr>
        <w:t>فإن</w:t>
      </w:r>
      <w:r w:rsidR="0066318E" w:rsidRPr="00F528D8">
        <w:rPr>
          <w:rFonts w:ascii="Traditional Arabic" w:hAnsi="Traditional Arabic" w:cs="Traditional Arabic" w:hint="cs"/>
          <w:u w:val="dotted"/>
          <w:rtl/>
        </w:rPr>
        <w:t>ّ</w:t>
      </w:r>
      <w:r w:rsidRPr="00F528D8">
        <w:rPr>
          <w:rFonts w:ascii="Traditional Arabic" w:hAnsi="Traditional Arabic" w:cs="Traditional Arabic" w:hint="cs"/>
          <w:u w:val="dotted"/>
          <w:rtl/>
        </w:rPr>
        <w:t xml:space="preserve"> جعل</w:t>
      </w:r>
      <w:r w:rsidR="0066318E" w:rsidRPr="00F528D8">
        <w:rPr>
          <w:rFonts w:ascii="Traditional Arabic" w:hAnsi="Traditional Arabic" w:cs="Traditional Arabic" w:hint="cs"/>
          <w:u w:val="dotted"/>
          <w:rtl/>
        </w:rPr>
        <w:t>َ</w:t>
      </w:r>
      <w:r w:rsidRPr="00F528D8">
        <w:rPr>
          <w:rFonts w:ascii="Traditional Arabic" w:hAnsi="Traditional Arabic" w:cs="Traditional Arabic" w:hint="cs"/>
          <w:u w:val="dotted"/>
          <w:rtl/>
        </w:rPr>
        <w:t xml:space="preserve"> اللفظ</w:t>
      </w:r>
      <w:r w:rsidR="000140EA" w:rsidRPr="00F528D8">
        <w:rPr>
          <w:rFonts w:ascii="Traditional Arabic" w:hAnsi="Traditional Arabic" w:cs="Traditional Arabic" w:hint="cs"/>
          <w:u w:val="dotted"/>
          <w:rtl/>
        </w:rPr>
        <w:t xml:space="preserve"> </w:t>
      </w:r>
      <w:r w:rsidR="000140EA" w:rsidRPr="0000700D">
        <w:rPr>
          <w:rFonts w:ascii="Traditional Arabic" w:hAnsi="Traditional Arabic" w:cs="Traditional Arabic" w:hint="cs"/>
          <w:rtl/>
        </w:rPr>
        <w:t>الذي</w:t>
      </w:r>
      <w:r w:rsidR="000140EA">
        <w:rPr>
          <w:rFonts w:ascii="Traditional Arabic" w:hAnsi="Traditional Arabic" w:cs="Traditional Arabic" w:hint="cs"/>
          <w:rtl/>
        </w:rPr>
        <w:t xml:space="preserve"> يدل عليهم أو يعود إليهم</w:t>
      </w:r>
      <w:r w:rsidR="00F528D8">
        <w:rPr>
          <w:rFonts w:ascii="Traditional Arabic" w:hAnsi="Traditional Arabic" w:cs="Traditional Arabic" w:hint="cs"/>
          <w:rtl/>
        </w:rPr>
        <w:t xml:space="preserve"> وهو (بهم)</w:t>
      </w:r>
      <w:r w:rsidR="000140EA">
        <w:rPr>
          <w:rFonts w:ascii="Traditional Arabic" w:hAnsi="Traditional Arabic" w:cs="Traditional Arabic" w:hint="cs"/>
          <w:rtl/>
        </w:rPr>
        <w:t xml:space="preserve"> في الوسط بين الفعل</w:t>
      </w:r>
      <w:r w:rsidR="00107867">
        <w:rPr>
          <w:rFonts w:ascii="Traditional Arabic" w:hAnsi="Traditional Arabic" w:cs="Traditional Arabic" w:hint="cs"/>
          <w:rtl/>
        </w:rPr>
        <w:t xml:space="preserve"> (أحاط)</w:t>
      </w:r>
      <w:r w:rsidR="000140EA">
        <w:rPr>
          <w:rFonts w:ascii="Traditional Arabic" w:hAnsi="Traditional Arabic" w:cs="Traditional Arabic" w:hint="cs"/>
          <w:rtl/>
        </w:rPr>
        <w:t xml:space="preserve"> والفاعل</w:t>
      </w:r>
      <w:r w:rsidR="00107867">
        <w:rPr>
          <w:rFonts w:ascii="Traditional Arabic" w:hAnsi="Traditional Arabic" w:cs="Traditional Arabic" w:hint="cs"/>
          <w:rtl/>
        </w:rPr>
        <w:t xml:space="preserve"> (سرادقها)</w:t>
      </w:r>
      <w:r w:rsidR="000140EA">
        <w:rPr>
          <w:rFonts w:ascii="Traditional Arabic" w:hAnsi="Traditional Arabic" w:cs="Traditional Arabic" w:hint="cs"/>
          <w:rtl/>
        </w:rPr>
        <w:t xml:space="preserve"> اللذين يدلان على الإحاطة</w:t>
      </w:r>
      <w:r w:rsidR="00260F72">
        <w:rPr>
          <w:rFonts w:ascii="Traditional Arabic" w:hAnsi="Traditional Arabic" w:cs="Traditional Arabic" w:hint="cs"/>
          <w:rtl/>
        </w:rPr>
        <w:t xml:space="preserve"> </w:t>
      </w:r>
      <w:r w:rsidR="00260F72" w:rsidRPr="009375EC">
        <w:rPr>
          <w:rFonts w:ascii="Traditional Arabic" w:hAnsi="Traditional Arabic" w:cs="Traditional Arabic" w:hint="cs"/>
          <w:u w:val="dotted"/>
          <w:rtl/>
        </w:rPr>
        <w:t>يشعر</w:t>
      </w:r>
      <w:r w:rsidR="0066318E" w:rsidRPr="009375EC">
        <w:rPr>
          <w:rFonts w:ascii="Traditional Arabic" w:hAnsi="Traditional Arabic" w:cs="Traditional Arabic" w:hint="cs"/>
          <w:u w:val="dotted"/>
          <w:rtl/>
        </w:rPr>
        <w:t>ُ</w:t>
      </w:r>
      <w:r w:rsidR="00260F72" w:rsidRPr="009375EC">
        <w:rPr>
          <w:rFonts w:ascii="Traditional Arabic" w:hAnsi="Traditional Arabic" w:cs="Traditional Arabic" w:hint="cs"/>
          <w:u w:val="dotted"/>
          <w:rtl/>
        </w:rPr>
        <w:t xml:space="preserve"> بالحصار</w:t>
      </w:r>
      <w:r w:rsidR="00260F72">
        <w:rPr>
          <w:rFonts w:ascii="Traditional Arabic" w:hAnsi="Traditional Arabic" w:cs="Traditional Arabic" w:hint="cs"/>
          <w:rtl/>
        </w:rPr>
        <w:t>، وأي حصار!</w:t>
      </w:r>
      <w:r w:rsidR="007747C2">
        <w:rPr>
          <w:rFonts w:ascii="Traditional Arabic" w:hAnsi="Traditional Arabic" w:cs="Traditional Arabic" w:hint="cs"/>
          <w:rtl/>
        </w:rPr>
        <w:t xml:space="preserve"> </w:t>
      </w:r>
      <w:r w:rsidR="007747C2">
        <w:rPr>
          <w:rFonts w:ascii="Traditional Arabic" w:hAnsi="Traditional Arabic" w:cs="Traditional Arabic" w:hint="cs"/>
          <w:color w:val="000000" w:themeColor="text1"/>
          <w:sz w:val="36"/>
          <w:rtl/>
        </w:rPr>
        <w:t>{</w:t>
      </w:r>
      <w:r w:rsidR="007747C2" w:rsidRPr="00694C9A">
        <w:rPr>
          <w:rFonts w:ascii="Traditional Arabic" w:hAnsi="Traditional Arabic" w:cs="Traditional Arabic"/>
          <w:color w:val="000000" w:themeColor="text1"/>
          <w:sz w:val="36"/>
          <w:rtl/>
        </w:rPr>
        <w:t>إِنَّا أَعْتَدْنَا</w:t>
      </w:r>
      <w:r w:rsidR="007747C2" w:rsidRPr="007747C2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 لِلظَّالِمِينَ نَارًا</w:t>
      </w:r>
      <w:r w:rsidR="007747C2" w:rsidRPr="00694C9A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 </w:t>
      </w:r>
      <w:r w:rsidR="007747C2" w:rsidRPr="0066318E">
        <w:rPr>
          <w:rFonts w:ascii="Traditional Arabic" w:hAnsi="Traditional Arabic" w:cs="Traditional Arabic"/>
          <w:color w:val="000000" w:themeColor="text1"/>
          <w:sz w:val="36"/>
          <w:u w:val="wave"/>
          <w:rtl/>
        </w:rPr>
        <w:t xml:space="preserve">أَحَاطَ </w:t>
      </w:r>
      <w:r w:rsidR="007747C2" w:rsidRPr="0066318E">
        <w:rPr>
          <w:rFonts w:ascii="Traditional Arabic" w:hAnsi="Traditional Arabic" w:cs="Traditional Arabic"/>
          <w:color w:val="000000" w:themeColor="text1"/>
          <w:sz w:val="36"/>
          <w:u w:val="single"/>
          <w:rtl/>
        </w:rPr>
        <w:t>بِهِمْ</w:t>
      </w:r>
      <w:r w:rsidR="007747C2" w:rsidRPr="00694C9A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 س</w:t>
      </w:r>
      <w:r w:rsidR="007747C2" w:rsidRPr="00BC44B1">
        <w:rPr>
          <w:rFonts w:ascii="Traditional Arabic" w:hAnsi="Traditional Arabic" w:cs="Traditional Arabic"/>
          <w:color w:val="000000" w:themeColor="text1"/>
          <w:sz w:val="36"/>
          <w:u w:val="wave"/>
          <w:rtl/>
        </w:rPr>
        <w:t>ُرَادِقُهَا</w:t>
      </w:r>
      <w:r w:rsidR="007747C2">
        <w:rPr>
          <w:rFonts w:ascii="Traditional Arabic" w:hAnsi="Traditional Arabic" w:cs="Traditional Arabic" w:hint="cs"/>
          <w:color w:val="000000" w:themeColor="text1"/>
          <w:sz w:val="36"/>
          <w:rtl/>
        </w:rPr>
        <w:t>}</w:t>
      </w:r>
      <w:r w:rsidR="000D418E">
        <w:rPr>
          <w:rFonts w:ascii="Traditional Arabic" w:hAnsi="Traditional Arabic" w:cs="Traditional Arabic" w:hint="cs"/>
          <w:rtl/>
        </w:rPr>
        <w:t>.</w:t>
      </w:r>
    </w:p>
    <w:p w14:paraId="74D7A335" w14:textId="70A7C09B" w:rsidR="001C3806" w:rsidRPr="008C386B" w:rsidRDefault="00260F72" w:rsidP="008C386B">
      <w:pPr>
        <w:jc w:val="both"/>
        <w:rPr>
          <w:rFonts w:ascii="Traditional Arabic" w:hAnsi="Traditional Arabic" w:cs="Traditional Arabic"/>
          <w:color w:val="000000" w:themeColor="text1"/>
          <w:sz w:val="36"/>
          <w:rtl/>
        </w:rPr>
      </w:pPr>
      <w:r>
        <w:rPr>
          <w:rFonts w:ascii="Traditional Arabic" w:hAnsi="Traditional Arabic" w:cs="Traditional Arabic" w:hint="cs"/>
          <w:rtl/>
        </w:rPr>
        <w:t>وكذلك كما قدم (الظالمين) في الآية قدم الجار والمجرور العائد إليهم</w:t>
      </w:r>
      <w:r w:rsidR="00C44D76">
        <w:rPr>
          <w:rFonts w:ascii="Traditional Arabic" w:hAnsi="Traditional Arabic" w:cs="Traditional Arabic" w:hint="cs"/>
          <w:rtl/>
        </w:rPr>
        <w:t xml:space="preserve"> بعد ذلك </w:t>
      </w:r>
      <w:r w:rsidR="003D24E2">
        <w:rPr>
          <w:rFonts w:ascii="Traditional Arabic" w:hAnsi="Traditional Arabic" w:cs="Traditional Arabic" w:hint="cs"/>
          <w:color w:val="000000" w:themeColor="text1"/>
          <w:sz w:val="36"/>
          <w:rtl/>
        </w:rPr>
        <w:t>{</w:t>
      </w:r>
      <w:r w:rsidR="008951D2" w:rsidRPr="00694C9A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إِنَّا أَعْتَدْنَا </w:t>
      </w:r>
      <w:r w:rsidR="008951D2" w:rsidRPr="0066318E">
        <w:rPr>
          <w:rFonts w:ascii="Traditional Arabic" w:hAnsi="Traditional Arabic" w:cs="Traditional Arabic"/>
          <w:color w:val="000000" w:themeColor="text1"/>
          <w:sz w:val="36"/>
          <w:u w:val="single"/>
          <w:rtl/>
        </w:rPr>
        <w:t xml:space="preserve">لِلظَّالِمِينَ </w:t>
      </w:r>
      <w:r w:rsidR="008951D2" w:rsidRPr="00694C9A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نَارًا </w:t>
      </w:r>
      <w:r w:rsidR="008951D2" w:rsidRPr="000D418E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أَحَاطَ </w:t>
      </w:r>
      <w:r w:rsidR="008951D2" w:rsidRPr="0066318E">
        <w:rPr>
          <w:rFonts w:ascii="Traditional Arabic" w:hAnsi="Traditional Arabic" w:cs="Traditional Arabic"/>
          <w:color w:val="000000" w:themeColor="text1"/>
          <w:sz w:val="36"/>
          <w:u w:val="single"/>
          <w:rtl/>
        </w:rPr>
        <w:t>بِهِمْ</w:t>
      </w:r>
      <w:r w:rsidR="008951D2" w:rsidRPr="00694C9A">
        <w:rPr>
          <w:rFonts w:ascii="Traditional Arabic" w:hAnsi="Traditional Arabic" w:cs="Traditional Arabic"/>
          <w:color w:val="000000" w:themeColor="text1"/>
          <w:sz w:val="36"/>
          <w:rtl/>
        </w:rPr>
        <w:t xml:space="preserve"> س</w:t>
      </w:r>
      <w:r w:rsidR="008951D2" w:rsidRPr="000D418E">
        <w:rPr>
          <w:rFonts w:ascii="Traditional Arabic" w:hAnsi="Traditional Arabic" w:cs="Traditional Arabic"/>
          <w:color w:val="000000" w:themeColor="text1"/>
          <w:sz w:val="36"/>
          <w:rtl/>
        </w:rPr>
        <w:t>ُرَادِقُهَا</w:t>
      </w:r>
      <w:r w:rsidR="003D24E2">
        <w:rPr>
          <w:rFonts w:ascii="Traditional Arabic" w:hAnsi="Traditional Arabic" w:cs="Traditional Arabic" w:hint="cs"/>
          <w:color w:val="000000" w:themeColor="text1"/>
          <w:sz w:val="36"/>
          <w:rtl/>
        </w:rPr>
        <w:t>}</w:t>
      </w:r>
      <w:r w:rsidR="008C386B">
        <w:rPr>
          <w:rFonts w:ascii="Traditional Arabic" w:hAnsi="Traditional Arabic" w:cs="Traditional Arabic" w:hint="cs"/>
          <w:color w:val="000000" w:themeColor="text1"/>
          <w:sz w:val="36"/>
          <w:rtl/>
        </w:rPr>
        <w:t xml:space="preserve"> </w:t>
      </w:r>
      <w:r w:rsidR="006F48F6">
        <w:rPr>
          <w:rFonts w:ascii="Traditional Arabic" w:hAnsi="Traditional Arabic" w:cs="Traditional Arabic" w:hint="cs"/>
          <w:rtl/>
        </w:rPr>
        <w:t>رعاية للنظم، واهتمامًا بتنبيه مَنْ يكفر</w:t>
      </w:r>
      <w:r w:rsidR="00644545">
        <w:rPr>
          <w:rFonts w:ascii="Traditional Arabic" w:hAnsi="Traditional Arabic" w:cs="Traditional Arabic" w:hint="cs"/>
          <w:rtl/>
        </w:rPr>
        <w:t xml:space="preserve"> بوصفه بالظلم أولاً، بمعنى أنه ظالم لنفسه في الدنيا مستحق للعقوبة بعد ذلك في الآخرة، فجزاء الظلم</w:t>
      </w:r>
      <w:r w:rsidR="00D3557B">
        <w:rPr>
          <w:rFonts w:ascii="Traditional Arabic" w:hAnsi="Traditional Arabic" w:cs="Traditional Arabic" w:hint="cs"/>
          <w:rtl/>
        </w:rPr>
        <w:t xml:space="preserve"> </w:t>
      </w:r>
      <w:r w:rsidR="002A7FBC">
        <w:rPr>
          <w:rFonts w:ascii="Traditional Arabic" w:hAnsi="Traditional Arabic" w:cs="Traditional Arabic" w:hint="cs"/>
          <w:rtl/>
        </w:rPr>
        <w:t xml:space="preserve">الذي هو </w:t>
      </w:r>
      <w:r w:rsidR="00D3557B">
        <w:rPr>
          <w:rFonts w:ascii="Traditional Arabic" w:hAnsi="Traditional Arabic" w:cs="Traditional Arabic" w:hint="cs"/>
          <w:rtl/>
        </w:rPr>
        <w:t>(الكفر) في الدنيا</w:t>
      </w:r>
      <w:r w:rsidR="002A7FBC">
        <w:rPr>
          <w:rFonts w:ascii="Traditional Arabic" w:hAnsi="Traditional Arabic" w:cs="Traditional Arabic" w:hint="cs"/>
          <w:rtl/>
        </w:rPr>
        <w:t xml:space="preserve"> هو النار في الآخرة، ولذلك أيضًا قدم الجار والمجرور (بهم) يقصد الظالمين على السرادق التي هي شيء</w:t>
      </w:r>
      <w:r w:rsidR="005F020E">
        <w:rPr>
          <w:rFonts w:ascii="Traditional Arabic" w:hAnsi="Traditional Arabic" w:cs="Traditional Arabic" w:hint="cs"/>
          <w:rtl/>
        </w:rPr>
        <w:t xml:space="preserve"> من النار </w:t>
      </w:r>
      <w:proofErr w:type="spellStart"/>
      <w:r w:rsidR="005F020E">
        <w:rPr>
          <w:rFonts w:ascii="Traditional Arabic" w:hAnsi="Traditional Arabic" w:cs="Traditional Arabic" w:hint="cs"/>
          <w:rtl/>
        </w:rPr>
        <w:t>أعاذنا</w:t>
      </w:r>
      <w:proofErr w:type="spellEnd"/>
      <w:r w:rsidR="005F020E">
        <w:rPr>
          <w:rFonts w:ascii="Traditional Arabic" w:hAnsi="Traditional Arabic" w:cs="Traditional Arabic" w:hint="cs"/>
          <w:rtl/>
        </w:rPr>
        <w:t xml:space="preserve"> الله منها.</w:t>
      </w:r>
    </w:p>
    <w:p w14:paraId="47ABB496" w14:textId="213BC140" w:rsidR="00754456" w:rsidRDefault="00754456" w:rsidP="00586E61">
      <w:pPr>
        <w:jc w:val="left"/>
        <w:rPr>
          <w:rFonts w:ascii="Traditional Arabic" w:hAnsi="Traditional Arabic" w:cs="Traditional Arabic"/>
          <w:rtl/>
        </w:rPr>
      </w:pPr>
    </w:p>
    <w:p w14:paraId="0C71772A" w14:textId="7154144E" w:rsidR="00754456" w:rsidRPr="00840420" w:rsidRDefault="00754456" w:rsidP="00754456">
      <w:pPr>
        <w:jc w:val="right"/>
        <w:rPr>
          <w:rFonts w:ascii="Aldhabi" w:hAnsi="Aldhabi" w:cs="Aldhabi"/>
        </w:rPr>
      </w:pPr>
      <w:r w:rsidRPr="00840420">
        <w:rPr>
          <w:rFonts w:ascii="Aldhabi" w:hAnsi="Aldhabi" w:cs="Aldhabi"/>
          <w:rtl/>
        </w:rPr>
        <w:t xml:space="preserve">كتبته هاجر بنت عثمان بن </w:t>
      </w:r>
      <w:proofErr w:type="gramStart"/>
      <w:r w:rsidRPr="00840420">
        <w:rPr>
          <w:rFonts w:ascii="Aldhabi" w:hAnsi="Aldhabi" w:cs="Aldhabi"/>
          <w:rtl/>
        </w:rPr>
        <w:t>عبدالله</w:t>
      </w:r>
      <w:proofErr w:type="gramEnd"/>
      <w:r w:rsidRPr="00840420">
        <w:rPr>
          <w:rFonts w:ascii="Aldhabi" w:hAnsi="Aldhabi" w:cs="Aldhabi"/>
          <w:rtl/>
        </w:rPr>
        <w:t xml:space="preserve"> الجغيمان</w:t>
      </w:r>
    </w:p>
    <w:sectPr w:rsidR="00754456" w:rsidRPr="00840420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DE4F" w14:textId="77777777" w:rsidR="00772F5A" w:rsidRDefault="00772F5A" w:rsidP="00636DA3">
      <w:r>
        <w:separator/>
      </w:r>
    </w:p>
  </w:endnote>
  <w:endnote w:type="continuationSeparator" w:id="0">
    <w:p w14:paraId="255B6077" w14:textId="77777777" w:rsidR="00772F5A" w:rsidRDefault="00772F5A" w:rsidP="0063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CF32" w14:textId="77777777" w:rsidR="00772F5A" w:rsidRDefault="00772F5A" w:rsidP="00636DA3">
      <w:r>
        <w:separator/>
      </w:r>
    </w:p>
  </w:footnote>
  <w:footnote w:type="continuationSeparator" w:id="0">
    <w:p w14:paraId="43E96046" w14:textId="77777777" w:rsidR="00772F5A" w:rsidRDefault="00772F5A" w:rsidP="00636DA3">
      <w:r>
        <w:continuationSeparator/>
      </w:r>
    </w:p>
  </w:footnote>
  <w:footnote w:id="1">
    <w:p w14:paraId="609F6E80" w14:textId="47BD2DE9" w:rsidR="00636DA3" w:rsidRDefault="002E07F6">
      <w:pPr>
        <w:pStyle w:val="a6"/>
        <w:rPr>
          <w:rFonts w:hint="cs"/>
          <w:rtl/>
        </w:rPr>
      </w:pPr>
      <w:r>
        <w:t>(</w:t>
      </w:r>
      <w:r w:rsidR="00636DA3">
        <w:rPr>
          <w:rStyle w:val="a5"/>
        </w:rPr>
        <w:footnoteRef/>
      </w:r>
      <w:r>
        <w:t>)</w:t>
      </w:r>
      <w:r w:rsidR="00636DA3">
        <w:rPr>
          <w:rtl/>
        </w:rPr>
        <w:t xml:space="preserve"> </w:t>
      </w:r>
      <w:r w:rsidR="00636DA3">
        <w:rPr>
          <w:rFonts w:hint="cs"/>
          <w:rtl/>
        </w:rPr>
        <w:t xml:space="preserve"> لسان العرب لابن منظور:6/234</w:t>
      </w:r>
    </w:p>
  </w:footnote>
  <w:footnote w:id="2">
    <w:p w14:paraId="3B4D28D3" w14:textId="0B92B71A" w:rsidR="00636DA3" w:rsidRDefault="002E07F6">
      <w:pPr>
        <w:pStyle w:val="a6"/>
        <w:rPr>
          <w:rFonts w:hint="cs"/>
          <w:rtl/>
        </w:rPr>
      </w:pPr>
      <w:r>
        <w:t>(</w:t>
      </w:r>
      <w:r w:rsidR="00636DA3">
        <w:rPr>
          <w:rStyle w:val="a5"/>
        </w:rPr>
        <w:footnoteRef/>
      </w:r>
      <w:r>
        <w:t>)</w:t>
      </w:r>
      <w:r w:rsidR="00636DA3">
        <w:rPr>
          <w:rtl/>
        </w:rPr>
        <w:t xml:space="preserve"> </w:t>
      </w:r>
      <w:r w:rsidR="00636DA3">
        <w:rPr>
          <w:rFonts w:hint="cs"/>
          <w:rtl/>
        </w:rPr>
        <w:t xml:space="preserve"> الكشاف للزمخشري</w:t>
      </w:r>
      <w:r w:rsidR="00804AC8">
        <w:rPr>
          <w:rFonts w:hint="cs"/>
          <w:rtl/>
        </w:rPr>
        <w:t>، ص619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83"/>
    <w:rsid w:val="0000700D"/>
    <w:rsid w:val="000140EA"/>
    <w:rsid w:val="00023F45"/>
    <w:rsid w:val="000D418E"/>
    <w:rsid w:val="00107867"/>
    <w:rsid w:val="00145571"/>
    <w:rsid w:val="00147A91"/>
    <w:rsid w:val="001C3806"/>
    <w:rsid w:val="001D6A19"/>
    <w:rsid w:val="00260F72"/>
    <w:rsid w:val="002A7FBC"/>
    <w:rsid w:val="002E07F6"/>
    <w:rsid w:val="00301C86"/>
    <w:rsid w:val="00344409"/>
    <w:rsid w:val="003A30A8"/>
    <w:rsid w:val="003D24E2"/>
    <w:rsid w:val="00586315"/>
    <w:rsid w:val="00586E61"/>
    <w:rsid w:val="005F020E"/>
    <w:rsid w:val="00636DA3"/>
    <w:rsid w:val="00644545"/>
    <w:rsid w:val="00657EA7"/>
    <w:rsid w:val="0066318E"/>
    <w:rsid w:val="00694C9A"/>
    <w:rsid w:val="006B631D"/>
    <w:rsid w:val="006F48F6"/>
    <w:rsid w:val="00754456"/>
    <w:rsid w:val="00772F5A"/>
    <w:rsid w:val="007747C2"/>
    <w:rsid w:val="00790AB9"/>
    <w:rsid w:val="00804AC8"/>
    <w:rsid w:val="00840420"/>
    <w:rsid w:val="008951D2"/>
    <w:rsid w:val="008C05A4"/>
    <w:rsid w:val="008C386B"/>
    <w:rsid w:val="009375EC"/>
    <w:rsid w:val="009565BA"/>
    <w:rsid w:val="00A45E3B"/>
    <w:rsid w:val="00AE5382"/>
    <w:rsid w:val="00AF6679"/>
    <w:rsid w:val="00B248AF"/>
    <w:rsid w:val="00B63890"/>
    <w:rsid w:val="00BB7700"/>
    <w:rsid w:val="00BC44B1"/>
    <w:rsid w:val="00C44D76"/>
    <w:rsid w:val="00CA2E83"/>
    <w:rsid w:val="00D3557B"/>
    <w:rsid w:val="00E661DD"/>
    <w:rsid w:val="00F528D8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F362B"/>
  <w15:chartTrackingRefBased/>
  <w15:docId w15:val="{17686825-44F7-4FE4-BF16-3084B58F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6981-6A40-4B1F-97AA-A8937B24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2021-08-03T16:41:00Z</dcterms:created>
  <dcterms:modified xsi:type="dcterms:W3CDTF">2021-08-03T16:41:00Z</dcterms:modified>
</cp:coreProperties>
</file>