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9" w:rsidRPr="008969BD" w:rsidRDefault="00C10F36" w:rsidP="008969BD">
      <w:pPr>
        <w:ind w:firstLine="432"/>
        <w:jc w:val="lowKashida"/>
        <w:rPr>
          <w:rFonts w:cs="KFGQPC Uthman Taha Naskh"/>
          <w:rtl/>
          <w:lang w:bidi="ar-JO"/>
        </w:rPr>
      </w:pPr>
      <w:hyperlink r:id="rId8" w:history="1">
        <w:r w:rsidR="00D34365" w:rsidRPr="008969BD">
          <w:rPr>
            <w:rStyle w:val="Hyperlink"/>
            <w:rFonts w:cs="KFGQPC Uthman Taha Naskh"/>
            <w:lang w:bidi="ar-JO"/>
          </w:rPr>
          <w:t>https://www.youtube.com/playlist?list=PLF8wQ8_AW0LxjB1KgpAH9CjJH590slYUE</w:t>
        </w:r>
      </w:hyperlink>
      <w:r w:rsidR="00D34365" w:rsidRPr="008969BD">
        <w:rPr>
          <w:rFonts w:cs="KFGQPC Uthman Taha Naskh" w:hint="cs"/>
          <w:rtl/>
          <w:lang w:bidi="ar-JO"/>
        </w:rPr>
        <w:t xml:space="preserve"> </w:t>
      </w:r>
    </w:p>
    <w:p w:rsidR="00B8374E" w:rsidRDefault="00B8374E" w:rsidP="00B8374E">
      <w:pPr>
        <w:jc w:val="center"/>
        <w:rPr>
          <w:rFonts w:ascii="Traditional Arabic" w:hAnsi="Traditional Arabic" w:cs="KFGQPC Uthman Taha Naskh"/>
          <w:bCs/>
          <w:color w:val="FF0000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JO"/>
        </w:rPr>
        <w:t>[فوائد منتقاة دون تفريغ ٍ حرفي ولا مراجعة من المؤلف].</w:t>
      </w:r>
    </w:p>
    <w:p w:rsidR="00122771" w:rsidRPr="009C54BC" w:rsidRDefault="00B8374E" w:rsidP="00122771">
      <w:pPr>
        <w:jc w:val="center"/>
        <w:rPr>
          <w:rFonts w:ascii="Traditional Arabic" w:hAnsi="Traditional Arabic" w:cs="KFGQPC Uthman Taha Naskh"/>
          <w:bCs/>
          <w:color w:val="FF0000"/>
          <w:sz w:val="40"/>
          <w:szCs w:val="40"/>
          <w:rtl/>
        </w:rPr>
      </w:pPr>
      <w:r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JO"/>
        </w:rPr>
        <w:t xml:space="preserve">فوائد من مقدمة </w:t>
      </w:r>
      <w:r w:rsidR="00122771" w:rsidRPr="009C54BC"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EG"/>
        </w:rPr>
        <w:t>«</w:t>
      </w:r>
      <w:r w:rsidR="00B75EA2" w:rsidRPr="009C54BC"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JO"/>
        </w:rPr>
        <w:t>شرح أخصر المختصرات</w:t>
      </w:r>
      <w:r w:rsidR="00122771" w:rsidRPr="009C54BC"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EG"/>
        </w:rPr>
        <w:t>»</w:t>
      </w:r>
    </w:p>
    <w:p w:rsidR="009F5F13" w:rsidRPr="00122771" w:rsidRDefault="00122771" w:rsidP="00122771">
      <w:pPr>
        <w:jc w:val="center"/>
        <w:rPr>
          <w:rFonts w:ascii="Traditional Arabic" w:hAnsi="Traditional Arabic" w:cs="KFGQPC Uthman Taha Naskh"/>
          <w:bCs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Cs/>
          <w:color w:val="FF0000"/>
          <w:sz w:val="40"/>
          <w:szCs w:val="40"/>
          <w:rtl/>
          <w:lang w:bidi="ar-JO"/>
        </w:rPr>
        <w:t>للشيخ أحمد القعيمي</w:t>
      </w:r>
    </w:p>
    <w:p w:rsidR="008969BD" w:rsidRPr="009C54BC" w:rsidRDefault="008969BD" w:rsidP="008969BD">
      <w:pPr>
        <w:spacing w:after="0" w:line="240" w:lineRule="auto"/>
        <w:jc w:val="center"/>
        <w:rPr>
          <w:rFonts w:ascii="Traditional Arabic" w:hAnsi="Traditional Arabic" w:cs="KFGQPC Uthman Taha Naskh"/>
          <w:b/>
          <w:bCs/>
          <w:color w:val="0070C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بسم الله الرحمن الرحيم</w:t>
      </w:r>
    </w:p>
    <w:p w:rsidR="00B75EA2" w:rsidRPr="008969BD" w:rsidRDefault="00B75EA2" w:rsidP="008969BD">
      <w:pPr>
        <w:spacing w:after="0" w:line="240" w:lineRule="auto"/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8969BD" w:rsidRPr="008969B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 المشبع</w:t>
      </w:r>
      <w:r w:rsidR="008969BD" w:rsidRPr="008969B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Pr="009C54BC">
        <w:rPr>
          <w:rFonts w:ascii="Traditional Arabic" w:hAnsi="Traditional Arabic" w:cs="KFGQPC Uthman Taha Naskh" w:hint="cs"/>
          <w:color w:val="0070C0"/>
          <w:sz w:val="40"/>
          <w:szCs w:val="40"/>
          <w:rtl/>
          <w:lang w:bidi="ar-JO"/>
        </w:rPr>
        <w:t>م</w:t>
      </w:r>
      <w:r w:rsidR="008969BD" w:rsidRPr="009C54BC">
        <w:rPr>
          <w:rFonts w:ascii="Traditional Arabic" w:hAnsi="Traditional Arabic" w:cs="KFGQPC Uthman Taha Naskh" w:hint="cs"/>
          <w:color w:val="0070C0"/>
          <w:sz w:val="40"/>
          <w:szCs w:val="40"/>
          <w:rtl/>
          <w:lang w:bidi="ar-JO"/>
        </w:rPr>
        <w:t>ُ</w:t>
      </w:r>
      <w:r w:rsidRPr="009C54BC">
        <w:rPr>
          <w:rFonts w:ascii="Traditional Arabic" w:hAnsi="Traditional Arabic" w:cs="KFGQPC Uthman Taha Naskh" w:hint="cs"/>
          <w:color w:val="0070C0"/>
          <w:sz w:val="40"/>
          <w:szCs w:val="40"/>
          <w:rtl/>
          <w:lang w:bidi="ar-JO"/>
        </w:rPr>
        <w:t>ؤل</w:t>
      </w:r>
      <w:r w:rsidR="008969BD" w:rsidRPr="009C54BC">
        <w:rPr>
          <w:rFonts w:ascii="Traditional Arabic" w:hAnsi="Traditional Arabic" w:cs="KFGQPC Uthman Taha Naskh" w:hint="cs"/>
          <w:color w:val="0070C0"/>
          <w:sz w:val="40"/>
          <w:szCs w:val="40"/>
          <w:rtl/>
          <w:lang w:bidi="ar-JO"/>
        </w:rPr>
        <w:t>َّ</w:t>
      </w:r>
      <w:r w:rsidRPr="009C54BC">
        <w:rPr>
          <w:rFonts w:ascii="Traditional Arabic" w:hAnsi="Traditional Arabic" w:cs="KFGQPC Uthman Taha Naskh" w:hint="cs"/>
          <w:color w:val="0070C0"/>
          <w:sz w:val="40"/>
          <w:szCs w:val="40"/>
          <w:rtl/>
          <w:lang w:bidi="ar-JO"/>
        </w:rPr>
        <w:t>ف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الراجح من المذهب، وهو آخر كتاب أل</w:t>
      </w:r>
      <w:r w:rsid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فه المرداوي، وراجعه أربع مرات</w:t>
      </w:r>
      <w:r w:rsidR="00DD5B1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</w:t>
      </w:r>
      <w:r w:rsidR="00DD5B1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DD5B1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وهو راض</w:t>
      </w:r>
      <w:r w:rsidR="00DD5B1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عنه.</w:t>
      </w:r>
    </w:p>
    <w:p w:rsidR="00B75EA2" w:rsidRPr="008969BD" w:rsidRDefault="00B75EA2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زاد الم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هو الكتاب الوحيد الذي لم يتفر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ع عن 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8970F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نتهى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8970F5" w:rsidRPr="008970F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048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AA7623" w:rsidRPr="008969BD" w:rsidRDefault="00D41E21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الثالثة: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غاية العلم العمل، ومن سبيل ذلك: ا</w:t>
      </w:r>
      <w:r w:rsidR="00AA762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لحفاظ على صفة صلاة النبي صلى الله عليه وسلم عند الحنابلة، وصيغ</w:t>
      </w:r>
      <w:r w:rsidR="002839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AA762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التشهد، </w:t>
      </w:r>
      <w:r w:rsidR="0040141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والسنن</w:t>
      </w:r>
      <w:r w:rsidR="002839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40141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الرواتب، وصيام</w:t>
      </w:r>
      <w:r w:rsidR="002839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40141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ثلاثة أيام من كل شهر، وصيام</w:t>
      </w:r>
      <w:r w:rsidR="002839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40141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الاثنين والخميس، وتجنب</w:t>
      </w:r>
      <w:r w:rsidR="002839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40141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المحرمات والمكروهات.</w:t>
      </w:r>
    </w:p>
    <w:p w:rsidR="000B32B8" w:rsidRDefault="00401416" w:rsidP="000B32B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الرابعة: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E0741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أنصحك أن 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تقرأ مقدمة كتاب </w:t>
      </w:r>
      <w:r w:rsidR="000B32B8" w:rsidRPr="000B32B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0B32B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طل</w:t>
      </w:r>
      <w:r w:rsidR="000B32B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0B32B8" w:rsidRPr="000B32B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للبعلي، وخاتمة</w:t>
      </w:r>
      <w:r w:rsidR="000B32B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0B32B8" w:rsidRPr="000B32B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90389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الإنصاف</w:t>
      </w:r>
      <w:r w:rsidR="000B32B8" w:rsidRPr="000B32B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B32B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للمرداوي.</w:t>
      </w:r>
    </w:p>
    <w:p w:rsidR="00401416" w:rsidRPr="008969BD" w:rsidRDefault="007E0741" w:rsidP="002E4F02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الخامسة: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القول</w:t>
      </w:r>
      <w:r w:rsidR="002E4F0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إذا اختلف </w:t>
      </w:r>
      <w:r w:rsidR="00B27812" w:rsidRPr="00B2781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B27812" w:rsidRPr="00B2781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B27812" w:rsidRPr="00B2781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B27812" w:rsidRPr="00B2781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فالم</w:t>
      </w:r>
      <w:r w:rsidR="00B2781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</w:t>
      </w:r>
      <w:r w:rsidR="008C0CB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ح ما في </w:t>
      </w:r>
      <w:r w:rsidR="00C06271" w:rsidRPr="00C062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الغاية</w:t>
      </w:r>
      <w:r w:rsidR="00C06271" w:rsidRPr="00C062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E4F0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.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فيه نظر؛ لأنه قد ي</w:t>
      </w:r>
      <w:r w:rsidR="008C0CB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</w:t>
      </w:r>
      <w:r w:rsidR="008C0CB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 ما يخالفهما معًا</w:t>
      </w:r>
      <w:r w:rsidR="008C0CB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فكيف يكون هو المذهب؟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!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وأيضًا فإن الب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هوتي وتلميذ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الخلوتي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يخالفان ما يقرره الك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مي، فكيف يكون هو المذهب؟</w:t>
      </w:r>
      <w:r w:rsidR="00D3273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!</w:t>
      </w:r>
    </w:p>
    <w:p w:rsidR="00E007C0" w:rsidRDefault="00E007C0" w:rsidP="0092395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الفائدة السا</w:t>
      </w:r>
      <w:r w:rsidR="0092395A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دسة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كتب المذهب في أدلة الأحكام: 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منار السبيل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ضويان، و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السنة والأحكام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للضياء المقدسي، و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شرح العمدة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تيمية</w:t>
      </w:r>
      <w:r w:rsidR="00F258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B03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ولا يوازيه حتى 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B03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المغني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B03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فيه!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F258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طل</w:t>
      </w:r>
      <w:r w:rsidR="00F258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 في أدلة الم</w:t>
      </w:r>
      <w:r w:rsidR="00F258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F2588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F25884" w:rsidRPr="00F2588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B8374E" w:rsidRDefault="00B8374E" w:rsidP="00F25884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</w:p>
    <w:p w:rsidR="00B8374E" w:rsidRPr="008969BD" w:rsidRDefault="00B8374E" w:rsidP="00F25884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</w:p>
    <w:p w:rsidR="00F25884" w:rsidRPr="009C54BC" w:rsidRDefault="00F25884" w:rsidP="00F25884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فوائد من</w:t>
      </w:r>
    </w:p>
    <w:p w:rsidR="00F25884" w:rsidRPr="009C54BC" w:rsidRDefault="00F25884" w:rsidP="00F25884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EG"/>
        </w:rPr>
        <w:t>«</w:t>
      </w:r>
      <w:r w:rsidR="00EB5280"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EG"/>
        </w:rPr>
        <w:t>المدخل إلى مذهب الإمام أحمد بن حنبل</w:t>
      </w: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EG"/>
        </w:rPr>
        <w:t>»</w:t>
      </w:r>
    </w:p>
    <w:p w:rsidR="00EB5280" w:rsidRPr="009C54BC" w:rsidRDefault="00EB5280" w:rsidP="00F25884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لل</w:t>
      </w:r>
      <w:r w:rsidR="00B8374E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شيخ عبد السلام ال</w:t>
      </w: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شويعر</w:t>
      </w:r>
    </w:p>
    <w:p w:rsidR="00EB5280" w:rsidRPr="008969BD" w:rsidRDefault="00EB52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الخلاف شر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ٌّ،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والاختلاف خير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ولما سم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ى أحد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هم كتاب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521F71" w:rsidRPr="00521F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الاختلاف</w:t>
      </w:r>
      <w:r w:rsidR="00521F71" w:rsidRPr="00521F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قال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سم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ه كتاب </w:t>
      </w:r>
      <w:r w:rsidR="00521F71" w:rsidRPr="00521F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الرحمة</w:t>
      </w:r>
      <w:r w:rsidR="00521F71" w:rsidRPr="00521F7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EB5280" w:rsidRPr="008969BD" w:rsidRDefault="00EB52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 إنكار في مسائل الخلاف الاجتهادية، أي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الخلافية التي لها حظ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النظر، والإنكار الممنوع هنا الفعلي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وأما القولي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فجائز.</w:t>
      </w:r>
    </w:p>
    <w:p w:rsidR="00EB5280" w:rsidRPr="008969BD" w:rsidRDefault="00EB5280" w:rsidP="00D51C4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الثالثة: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كان الفقه ي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نسب لأهل الب</w:t>
      </w:r>
      <w:r w:rsidR="00521F7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ُل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دان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ذهب أهل العراق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وذهب أهل الشام، ثم لما ك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توارد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أصحاب كل بلد إلى الآخر، وتعددت المدارس، صار الانتساب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للأئمة الأربعة الذين أراد الله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لهم القبول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لربما لسريرة.</w:t>
      </w:r>
    </w:p>
    <w:p w:rsidR="00EB5280" w:rsidRPr="008969BD" w:rsidRDefault="00EB52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الفائدة الرابعة: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كل خلاف بين الصحابة وتابعيهم أو تابعي التابعين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وكان القول شاذ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وله مستند معتبر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مشهورًا أو راجحًا 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=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إلا وهو موجود عند الأئمة الأربعة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لم يكن ملغي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ا، وهو مستند من حر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 الخروج عنهم، فلا بد أن يكون وجه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أو رواية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قول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في أحد المذاهب، قال بذلك أبو عمرو بن الصلاح وابن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تيمية وابن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رجب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EB5280" w:rsidRPr="008969BD" w:rsidRDefault="00EB52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الخامسة: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منذ القرن الرابع ما ش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فقيه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ولا ع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عالم</w:t>
      </w:r>
      <w:r w:rsidR="00D51C4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وقد تمذهب.</w:t>
      </w:r>
    </w:p>
    <w:p w:rsidR="00B06F24" w:rsidRPr="008969BD" w:rsidRDefault="00EB52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السادسة: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الناظر في الفرع الفقهي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إما لأجل التفق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ه، وإما لأجل الف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تيا، وإما لأجل عمله في خاص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نفس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ه، فإن كان للتفق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فلا يمكن أن يكون إلا بال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تمذهب، وباب الإفتاء باب آخر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 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لمن ح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ظ أو 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مذهب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أن 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فتي حتى تجتمع فيه أوصاف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وأما العمل فقد 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خال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كالنووي في ترجيحه نقض الوضوء من لحم الإبل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B06F2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مع أن مذهبه في عدم النقض، لكن باب العمل شيء آخر.</w:t>
      </w:r>
    </w:p>
    <w:p w:rsidR="00B06F24" w:rsidRPr="008969BD" w:rsidRDefault="00B06F24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السابعة: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تمي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ز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 المذهب الحنبلي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 اعتناءٌ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حفظ نصوص الحديث، وب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علم الحديث، فالإمام أحمد له أجزاء في الع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لل، وكذا تلميذه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الخل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ال، وكذا الم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 ابن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ق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دام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له جزء، والضياء المقدسي م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فض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 على كتاب الحاكم.</w:t>
      </w:r>
    </w:p>
    <w:p w:rsidR="00B06F24" w:rsidRPr="008969BD" w:rsidRDefault="00B06F24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الثامنة: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القول بالنسخ هو الأقل وجودًا في المذهب الحنبلي،</w:t>
      </w:r>
      <w:r w:rsidR="00E6500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الأكل من لحم الجزور مثالًا، و</w:t>
      </w:r>
      <w:r w:rsidR="00DF2F37" w:rsidRPr="00DF2F3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6500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أفطر الحاجم والمحجوم</w:t>
      </w:r>
      <w:r w:rsidR="00DF2F37" w:rsidRPr="00DF2F3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6500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مثال</w:t>
      </w:r>
      <w:r w:rsidR="00DF2F3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E6500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آخر.</w:t>
      </w:r>
    </w:p>
    <w:p w:rsidR="00E6500E" w:rsidRPr="008969BD" w:rsidRDefault="00E6500E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التاسعة: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يقول شيخ الإسلام: إن غالب مفاريد الإمام أحمد عن الجمهور هو الالتزام بظواهر النصوص.</w:t>
      </w:r>
    </w:p>
    <w:p w:rsidR="00EB5280" w:rsidRPr="008969BD" w:rsidRDefault="00B06F24" w:rsidP="007A1376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الفائدة ال</w:t>
      </w:r>
      <w:r w:rsidR="00E6500E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عاشرة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النكرة في سياق الإثبات تعم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عموم أوصاف، والنكرة في سياق النفي تعم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عموم أشخاص.</w:t>
      </w:r>
      <w:r w:rsidR="00EB52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</w:p>
    <w:p w:rsidR="007A1376" w:rsidRDefault="00E6500E" w:rsidP="007A1376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الحادية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مذهب أحمد من أوسع المذاهب القائل باختلاف التنو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ع، مثاله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الس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ْل 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بعد الركوع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لتنازعه أمرين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أصل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الصلاة وما قبل الصلاة، والنهي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عن الس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 يحتمل أمرين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س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حال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القيام في ابتداء الصلاة، ويحتمل بعد الرفع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فهو احتمال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7D550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فالقول بالإباحة لكلا الفعلين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E6500E" w:rsidRPr="008969BD" w:rsidRDefault="007D550B" w:rsidP="007A1376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ومع تميزهم بهذا يختارون الأفضل في باب التنوع، فالأفضل في الإبراهيمية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اللهم صل على محمد وعلى آل محمد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كما صليت على آل إبراهيم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إنك حميد مجيد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...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ومثلها في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بارك</w:t>
      </w:r>
      <w:r w:rsid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 xml:space="preserve"> ...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والأفضل في الكسوف بركوعين، وفي الدعاء بين السجدتين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رب اغفر لي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وفي الركوع والسجود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سبحان ربي العظيم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دون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وبحمده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وفي الاستفتاح حديث عمر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سبحانك اللهم وبحمدك ..</w:t>
      </w:r>
      <w:r w:rsidR="007A1376" w:rsidRPr="007A137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D550B" w:rsidRPr="008969BD" w:rsidRDefault="007D550B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الإجماع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عزيز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 عند الإمام أحمد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وكأنه ي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رد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أبي ثور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 سهولة الإجماع عنده، وكان يحب إجماعات الز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هر</w:t>
      </w:r>
      <w:r w:rsidR="007A137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لإدراكه أنس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وكبار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التابعين، وفي القي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اس كان يحب أقيسة إبراهيم الن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خ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ي، و</w:t>
      </w:r>
      <w:r w:rsidR="00B8374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القياس 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قياس أصل وقياس فصل وقياس وصل.</w:t>
      </w:r>
    </w:p>
    <w:p w:rsidR="007D550B" w:rsidRPr="008969BD" w:rsidRDefault="00E4683F" w:rsidP="00A5297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 الثالثة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تخريج المناط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 تنقيح المناط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 تحقيق المناط، وتخريجه هو الاستقراء وهو ح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DC22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ة، 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وكان يقال: شارك أحمد في علمه بالحديث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والرجال الكثير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ولم يشاركه 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أحد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 معرفة أقوال  الصحابة هو وتلميذه محمد بن نصر المروزي، واطلع على 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السنن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للأثرم، و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السنن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لسعيد بن منصور.</w:t>
      </w:r>
    </w:p>
    <w:p w:rsidR="00C31152" w:rsidRPr="008969BD" w:rsidRDefault="00C31152" w:rsidP="00A5297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الرابعة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رأي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الإمام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ابن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عبد البر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أن احتجاج الإمام أحمد بالأثر يقتضي التصحيح.</w:t>
      </w:r>
    </w:p>
    <w:p w:rsidR="00C31152" w:rsidRPr="008969BD" w:rsidRDefault="00C31152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الخامسة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الاستحسان عند الإمام أحمد ليس هو مخالفة قياس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لقياس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أقوى منه، وإنما يعنون به تخصيص العلة، فلا يمكن أن يأتي حديث يخالف القياس، وإن كان فلا ب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تخصيص ع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ته.</w:t>
      </w:r>
    </w:p>
    <w:p w:rsidR="00C31152" w:rsidRPr="008969BD" w:rsidRDefault="00A52979" w:rsidP="00A5297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السادسة عشرة</w:t>
      </w:r>
      <w:r w:rsidR="00C31152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يقول أبو المعالي ابن المنج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ى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كل أقوال المذاهب الأربعة في مذهب أحمد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ويقول الط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مذهب أحمد مذهب اجتهاد</w:t>
      </w:r>
      <w:r w:rsidR="00C3115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C31152" w:rsidRPr="008969BD" w:rsidRDefault="00C31152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السابعة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كي الإجماع على أن الراجح دليلًا في المذهب ي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قدم على المشهور فيه، وقيل: لم يخالف إلا الت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ولي من المتأخرين.</w:t>
      </w:r>
    </w:p>
    <w:p w:rsidR="00C31152" w:rsidRPr="008969BD" w:rsidRDefault="00C31152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الثامنة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من خصائص مذهب أحمد 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المفردات</w:t>
      </w:r>
      <w:r w:rsidR="00A52979" w:rsidRPr="00A5297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وأل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فيها ابن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أبي ي</w:t>
      </w:r>
      <w:r w:rsidR="00A5297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على وأبو الوفاء تلميذا القاضي أبي يعلى، والبرهان</w:t>
      </w:r>
      <w:r w:rsidR="00F41F6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ابن القيم، وابن م</w:t>
      </w:r>
      <w:r w:rsidR="00F41F6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فل</w:t>
      </w:r>
      <w:r w:rsidR="00F41F6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F2C2F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ح، والعمري.</w:t>
      </w:r>
    </w:p>
    <w:p w:rsidR="00105EE1" w:rsidRDefault="008F2C2F" w:rsidP="00105EE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التاسعة عشرة: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لكل ر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 من الفقه قواعد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خاص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بالمذهب، فمثل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في العبادات يأخذون بالحديث الضعيفِ الذي ليس بشديد</w:t>
      </w:r>
      <w:r w:rsidR="001001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ويستحبون العمل به احتياط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ا، ويكرهون العمل به احتياط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إن كان نهي</w:t>
      </w:r>
      <w:r w:rsidR="00F348B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ا، فمثلا وقت العصر ثمة حديثان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ينتهي إلى الاصفرار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وإلى ظل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كل شيء م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ه، والعشاء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إلى النصف وإلى الثلث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فأخذوا بالأحوط، ويحتاطون  باعتبار الحال في العبادات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فلا عبرة بوقت الوجوب ولا وقت الأداء، إنما بالأحوط من الحالين</w:t>
      </w:r>
      <w:r w:rsidR="00105EE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8F2C2F" w:rsidRPr="008969BD" w:rsidRDefault="008F2C2F" w:rsidP="00105EE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وفي باب المعاملات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الأصل الإباحة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وع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المسلمين شرقًا وغربًا </w:t>
      </w:r>
      <w:r w:rsidR="008066D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على مذهب أحم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في معتمده أو رواية من رواياته</w:t>
      </w:r>
      <w:r w:rsidR="008066D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= </w:t>
      </w:r>
      <w:r w:rsidR="008066D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جواز الشرط والشرطين والثلاثة، جواز اشتراط عقد على عقد في رواية، جواز الشروط 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الجعلية، التوسع في خيارات الشرط</w:t>
      </w:r>
      <w:r w:rsidR="008066D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كالبيع والتدليس، وفي باب الجنايات توسطوا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8066D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فمذهب مالك ا</w:t>
      </w:r>
      <w:r w:rsidR="004F644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لتشديد، ومذهب أبي حنيفة التيسير، وأيضًا من مسائل الفروع: التوسع في العذر بالجهل والنسيان</w:t>
      </w:r>
      <w:r w:rsidR="00B2755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4F644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تفريقًا بين المأمور والمنهي عنه.</w:t>
      </w:r>
    </w:p>
    <w:p w:rsidR="004F6446" w:rsidRPr="008969BD" w:rsidRDefault="004F6446" w:rsidP="00F218E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العشرون: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مذهب أحمد يتميز بقلة الحشو في المسائل، فهناك مسائل نصف مجلد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كما في كتاب أبي محمد الجويني في 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الد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والتي أساسها  الجبر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وأيض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المسائل الم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حي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ِّرة في كتب الأحناف وهو ابن مازة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والتي ليس لها حل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وأل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الد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ار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مي الشافع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مجلد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في 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المستحاضة المتحيرة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وكذلك قلة الف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ض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19708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ات.</w:t>
      </w:r>
    </w:p>
    <w:p w:rsidR="00197080" w:rsidRPr="008969BD" w:rsidRDefault="0019708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الواحدة والعشرون: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مذهب الإمام أحمد أيضًا مختص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ٌّ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بكثرة الكتب في  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الآداب،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فهو من أكثر المذاهب تأليفًا، والآداب 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كبرى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وسطى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صغرى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م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فل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80F2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ح، وهناك رواية أن ما جاء في باب الآداب فهي للوجوب، وهناك رواية أخرى توافق قول الجمهور أنها للندب وللكراهة.</w:t>
      </w:r>
    </w:p>
    <w:p w:rsidR="00B80F28" w:rsidRPr="008969BD" w:rsidRDefault="00B80F28" w:rsidP="00403DC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 والعشرون: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اختصاص مذهب أحمد بسنة الاعتقاد، حتى إن يحيى بن أبي الخير الع</w:t>
      </w:r>
      <w:r w:rsidR="00F218E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مراني صاحب كتاب 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البيان</w:t>
      </w:r>
      <w:r w:rsidR="00F218E9" w:rsidRPr="00F218E9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ثلاثة عشر مجلدًا</w:t>
      </w:r>
      <w:r w:rsidR="00EE133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وله </w:t>
      </w:r>
      <w:r w:rsidR="00EE133A" w:rsidRPr="00EE133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الانتصار للحنابلة</w:t>
      </w:r>
      <w:r w:rsidR="00EE133A" w:rsidRPr="00EE133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E133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أوقفه أبناؤه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وأحفاد</w:t>
      </w:r>
      <w:r w:rsidR="001B54A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على الحنابلة، وكان ي</w:t>
      </w:r>
      <w:r w:rsidR="001B54A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سم</w:t>
      </w:r>
      <w:r w:rsidR="001B54A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َّى بالحنبلي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1B54A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ردًّ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عل</w:t>
      </w:r>
      <w:r w:rsidR="00941D1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ى المعتزلة الذين كانوا في زمانه، وأغلب كتب الحنابلة  في أولها الاعتقاد، وأيضًا  في السلوك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941D1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فقد كان أحمد وم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941D1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بعده لا يأتون الرياسة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941D1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يلبسون ثوب الز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941D1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هد والخمول.</w:t>
      </w:r>
    </w:p>
    <w:p w:rsidR="00000621" w:rsidRPr="008969BD" w:rsidRDefault="00941D1D" w:rsidP="00645980">
      <w:pPr>
        <w:jc w:val="center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انتهى  الدرس ال</w:t>
      </w:r>
      <w:r w:rsidR="00403DC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أول</w:t>
      </w:r>
    </w:p>
    <w:p w:rsidR="00645980" w:rsidRPr="009C54BC" w:rsidRDefault="00645980" w:rsidP="00645980">
      <w:pPr>
        <w:ind w:firstLine="432"/>
        <w:jc w:val="center"/>
        <w:rPr>
          <w:rFonts w:ascii="Traditional Arabic" w:hAnsi="Traditional Arabic" w:cs="KFGQPC Uthman Taha Naskh"/>
          <w:b/>
          <w:bCs/>
          <w:color w:val="0070C0"/>
          <w:sz w:val="28"/>
          <w:szCs w:val="28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</w:p>
    <w:p w:rsidR="004B36DC" w:rsidRDefault="00941D1D" w:rsidP="004B36DC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الوجه أقوى من التخريج، لأن الوجه مبني</w:t>
      </w:r>
      <w:r w:rsidR="004660A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ٌّ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تحقيق مناط</w:t>
      </w:r>
      <w:r w:rsidR="004660A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وقاعدة</w:t>
      </w:r>
      <w:r w:rsidR="004660A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وأما التخريج فهو قياس الش</w:t>
      </w:r>
      <w:r w:rsidR="0064598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64598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95A18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عند الأصوليين، فإذا كان ا</w:t>
      </w:r>
      <w:r w:rsidR="009915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لوجه والتخريج احتمالًا فهو جائز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55E0B" w:rsidRDefault="0099157E" w:rsidP="00755E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وإذا أطلق لفظ </w:t>
      </w:r>
      <w:r w:rsidR="004B36DC" w:rsidRPr="004B36D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الرواية</w:t>
      </w:r>
      <w:r w:rsidR="004B36DC" w:rsidRPr="004B36D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فطريقة المتقدمين أنها ت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طلق على المنصوص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والإيماء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والوجه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والتخريج</w:t>
      </w:r>
      <w:r w:rsidR="004B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فيقولون : أربع روايات، ويفعلون ذلك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(هل ما قيس في مذهبه يكون مذهبًا له؟) وأما المتأخرون فلا ي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سم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ون الرواية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ما كان نصًّا أو إيماءً.</w:t>
      </w:r>
    </w:p>
    <w:p w:rsidR="00755E0B" w:rsidRDefault="00A15A48" w:rsidP="00755E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مميزات الطبقة الأولى: أنهم جمعوا كلام الإمام أحمد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وهي من بعد الإمام أحمد إلى القاضي أبي ي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عل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ى، وكان لهم في الجمع ثلاثة طرق:</w:t>
      </w:r>
    </w:p>
    <w:p w:rsidR="00755E0B" w:rsidRDefault="00D94FF4" w:rsidP="00755E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النقل المباشر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كمسائل إسحاق بن منصور الكوسج، ومسائل ابن هانئ، ومسائل ابنيه صالح وعبد الله، والسنن للأثرم، ورواية البغوي وابن أبي داود السجستاني  وحرب بن إسماعيل الك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مي، وعد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هم في </w:t>
      </w:r>
      <w:r w:rsidR="00755E0B" w:rsidRPr="00755E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الإنصاف</w:t>
      </w:r>
      <w:r w:rsidR="00755E0B" w:rsidRPr="00755E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نحو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من مائة وثلاثين راويًا رواة فقه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وأما رواة الحديث فجاوز الخمسمائة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543B3" w:rsidRDefault="00D94FF4" w:rsidP="00755E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ومن ألف تأليفًا خاص</w:t>
      </w:r>
      <w:r w:rsidR="00755E0B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ًّ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 xml:space="preserve">ا فجمع الروايات: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أبو بكر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الخلال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 أربعين مجلدًا، ومجلد المتقدمين تساوي أربع مجلدات من الآن، والثاني أبو بكر عبد العزيز غلام الخلال</w:t>
      </w:r>
      <w:r w:rsidR="00755E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وإذا أطلق أبو بكر فهو المراد، وله ثلاثة كتب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زاد المسافر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مطبوع، و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الشافي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التنبيه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ولا ي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علم عنهما شيء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ورت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 الروايات ونسب كل رواية لصاحبها.</w:t>
      </w:r>
    </w:p>
    <w:p w:rsidR="00941D1D" w:rsidRPr="008969BD" w:rsidRDefault="00F24CCD" w:rsidP="000543B3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وأما من كتب متنًا فقهي</w:t>
      </w:r>
      <w:r w:rsidR="000543B3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ًّ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آخذ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من الروايات فهو 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مختصر الخر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مسائل معدودة أل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فيها تلميذ الخلال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وبي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ن أنها ليست من منصوصه، وكذا أبو عبد الله 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بن حامد.</w:t>
      </w:r>
    </w:p>
    <w:p w:rsidR="004A44EC" w:rsidRDefault="00F24CCD" w:rsidP="00E143E5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ومما فعله المتقدمون</w:t>
      </w:r>
      <w:r w:rsidR="000543B3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توضيحهم لكلام أحمد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صاحب الوجه الواحد والوجوه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وذلك راجع إلى دلالات المعنى، هل هو صريح أو غير صريح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؟</w:t>
      </w:r>
    </w:p>
    <w:p w:rsidR="00E143E5" w:rsidRDefault="00F24CCD" w:rsidP="00E143E5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فإذا قال</w:t>
      </w:r>
      <w:r w:rsidR="000543B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أرجو</w:t>
      </w:r>
      <w:r w:rsidR="000543B3" w:rsidRPr="000543B3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فهو صريح وجه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واحد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في الإباحة، وإذا قال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E143E5" w:rsidRPr="00E143E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أستقبحه</w:t>
      </w:r>
      <w:r w:rsidR="00E143E5" w:rsidRPr="00E143E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فعند المتقدمين وجه واحد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 الحرمة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F24CCD" w:rsidRPr="008969BD" w:rsidRDefault="00F24CCD" w:rsidP="004A44EC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وأما غير الصريح فممن أل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</w:t>
      </w:r>
      <w:r w:rsidR="00E143E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ابن ح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مدان في كتابه 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تهذيب الأجوبة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 في كتبه 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الرعاية الصغرى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الرعاية الكبرى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صفة المفتي والمستفتي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فس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ووج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ه فيه عبارات الإمام أحمد، وأيضا كتاب 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الحاوي</w:t>
      </w:r>
      <w:r w:rsidR="004A44EC" w:rsidRPr="004A44EC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لأبي طالب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الضرير العبدلياني.</w:t>
      </w:r>
    </w:p>
    <w:p w:rsidR="00693D77" w:rsidRDefault="002D3AEF" w:rsidP="00693D7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تعددت روايات مذهب الإمام أحمد كثرة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لأن أصحابه جعلوا قواعد</w:t>
      </w:r>
      <w:r w:rsidR="004A44E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نصوص الإمام أحمد فكثُر الخلاف</w:t>
      </w:r>
      <w:r w:rsidR="005553F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وأيض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فقد عُنُوا </w:t>
      </w:r>
      <w:r w:rsidR="003A67C2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بالجمع بين الروايات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المنقولة عنه</w:t>
      </w:r>
      <w:r w:rsidR="00BA7CA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فطريقة الشيخ تقي الدين وقبله القاضي أبي يعلى</w:t>
      </w:r>
      <w:r w:rsidR="00BA7CA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أنهم لا يجعلون من الروايتين في قول </w:t>
      </w:r>
      <w:r w:rsidR="00BA7CAA" w:rsidRPr="00BA7CA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لا ينبغي</w:t>
      </w:r>
      <w:r w:rsidR="00BA7CAA" w:rsidRPr="00BA7CA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قول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BA7CA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بل 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يجعلون الرواية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الواحدة دالة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شيء واحد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ويبحثون في القرائن والروايات الأخرى المقوية لظاهر الرواية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693D77" w:rsidRPr="00693D7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لا ينبغي</w:t>
      </w:r>
      <w:r w:rsidR="00693D77" w:rsidRPr="00693D7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للتحريم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وإن دلت على الكراهة فبقرائن أخرى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D3AEF" w:rsidRPr="008969BD" w:rsidRDefault="00CA4F53" w:rsidP="00693D7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وحتى الرواية الواحدة التي بالإيماء ي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فهم منها قولان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يجمعون ولا يجعلونها قولين،</w:t>
      </w:r>
      <w:r w:rsidR="003A67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وطريقة الأ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ز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وكثير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المتقدمين والمتوسطين حال الجمع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أنهم يجعلون كل رواية قول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مستقل</w:t>
      </w:r>
      <w:r w:rsidR="00693D7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ا، والطريقة الأولى هي عند المتأخرين.</w:t>
      </w:r>
    </w:p>
    <w:p w:rsidR="000F5CD7" w:rsidRDefault="00D51CF2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وعُنُوا 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بالجمع بين الروايات المتعارضة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فقد ذكروا أكثر من أربعين قاعدة في الجمع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كـ:</w:t>
      </w:r>
    </w:p>
    <w:p w:rsidR="000F5CD7" w:rsidRDefault="000F5CD7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- 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معرفة الراوي إن كان متقدم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أو متأخر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ا، فابن الحكم مات في حياة أحمد، والبغوي روى عن أحمد في آخر سنة أو سنتين من حياته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F5CD7" w:rsidRDefault="000F5CD7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- 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والرواية المرجوع عنها هل تُلغى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؟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رج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 المجد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وتلميذ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أنها تبقى قولًا في المذهب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F5CD7" w:rsidRDefault="000F5CD7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- 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وإذا لم ي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عرف المتأخر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فأقربهما إلى الكتاب والسنة والأثر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قواعد المذهب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D51CF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أو قواعده هو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مقاصده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أدلته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F5CD7" w:rsidRDefault="000F5CD7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- 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وقد يكون الترجيح برواية الأكثر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كما يقال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Pr="000F5CD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رواه الجماعة</w:t>
      </w:r>
      <w:r w:rsidRPr="000F5CD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D51CF2" w:rsidRPr="008969BD" w:rsidRDefault="000F5CD7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- 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وأيض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بعض الرواة أوثق من بعض، فمثلًا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تكل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 على رواية حنبل بن إسحاق 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بن أخي الإمام أحمد إذا تفرد، فطريقة الخل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 وغلام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تضعيف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انفرد به إذا خالفه غيره، ويرى تقي الدين أنها صحيحة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D1499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وأنه قد يصيب ويخطئ.</w:t>
      </w:r>
    </w:p>
    <w:p w:rsidR="000F5CD7" w:rsidRPr="009C54BC" w:rsidRDefault="000F5CD7" w:rsidP="000F5CD7">
      <w:pPr>
        <w:ind w:firstLine="432"/>
        <w:jc w:val="center"/>
        <w:rPr>
          <w:rFonts w:ascii="Traditional Arabic" w:hAnsi="Traditional Arabic" w:cs="KFGQPC Uthman Taha Naskh"/>
          <w:b/>
          <w:bCs/>
          <w:color w:val="0070C0"/>
          <w:sz w:val="28"/>
          <w:szCs w:val="28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</w:p>
    <w:p w:rsidR="007D550B" w:rsidRPr="009C54BC" w:rsidRDefault="00E43276" w:rsidP="000F5CD7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lastRenderedPageBreak/>
        <w:t>الدرس الثالث</w:t>
      </w:r>
    </w:p>
    <w:p w:rsidR="00E43276" w:rsidRPr="008969BD" w:rsidRDefault="00E43276" w:rsidP="000F5CD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تبدأ</w:t>
      </w:r>
      <w:r w:rsidR="00B8374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الطبقة المتوسطة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عند القاضي أبي يعلى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والسبب أن له جاهًا وتأليفًا وط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ابًا، 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وله طريقة تباين طريقة أب</w:t>
      </w:r>
      <w:r w:rsidR="000F5CD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علي بن أبي موسى صاحب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الإرشاد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وكتبه التي أل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فها في أول عمره غير التي أل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فها في آخره، فإنه كان متأثرًا بطريقة الخراسانيين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وآخر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تأثر بالعراقيين في مسلك التعليل، ولما س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ابن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تيمية طلب جزءًا من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التعليقة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للقاضي أبي يعلى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8C41A7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لما فيها 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من الخلاف النازل والخلاف العالي، وفي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الروايتين والوجهين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ذكر ما فيه خلاف وأهمل ما في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رواية واحدة، وله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الجامع الصغير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وعليه بنى الس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ام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ي في كتابه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ستوع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F70E0" w:rsidRPr="008969BD" w:rsidRDefault="002F70E0" w:rsidP="00AB3DC6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وتلاميذ أبي يعلى كانوا أئمة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كبار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ولهم تواليف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فأبو الخطاب له 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الانتصار </w:t>
      </w:r>
      <w:r w:rsidR="004407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في 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لمسائل الكبار</w:t>
      </w:r>
      <w:r w:rsidR="00440790" w:rsidRPr="004407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زاد على ما في </w:t>
      </w:r>
      <w:r w:rsidR="00312DDE" w:rsidRPr="00312DD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التعليقة</w:t>
      </w:r>
      <w:r w:rsidR="00312DDE" w:rsidRPr="00312DD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وله كتاب </w:t>
      </w:r>
      <w:r w:rsidR="00312DDE" w:rsidRPr="00312DD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الهداية</w:t>
      </w:r>
      <w:r w:rsidR="00312DDE" w:rsidRPr="00312DD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12DD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وعليه اعتمد المتوسطون بعده، وعليه مختصرات وشروح، وله 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ء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وس المسائل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وذكر تقي الدين عن جده أبي البركات شارح 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الهداية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أن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ظاهر المذهب ي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عرف بما رج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حه أبو الخطاب في 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AB3DC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ء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وس المسائل</w:t>
      </w:r>
      <w:r w:rsidR="00AB3DC6" w:rsidRPr="00AB3DC6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6177F8" w:rsidRDefault="002F70E0" w:rsidP="006177F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ومن تلاميذه ابن الزاغوني</w:t>
      </w:r>
      <w:r w:rsidR="007D1BF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وله </w:t>
      </w:r>
      <w:r w:rsidR="007D1BFB" w:rsidRPr="007D1BF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الواضح</w:t>
      </w:r>
      <w:r w:rsidR="007D1BFB" w:rsidRPr="007D1BF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من أصحاب الترجيح في المذهب، وأيضًا ابن ع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يل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وكان يتوسع كثير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في التخريج والتصحيح، وهو دون أبي الخطاب وابن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الزاغوني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ولكنه من أصحاب الوجوه</w:t>
      </w:r>
      <w:r w:rsidR="006177F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F70E0" w:rsidRPr="008969BD" w:rsidRDefault="002F70E0" w:rsidP="0098780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وأيض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ابنه أبو الحسين</w:t>
      </w:r>
      <w:r w:rsidR="0098780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له كتاب </w:t>
      </w:r>
      <w:r w:rsidR="006002C4" w:rsidRPr="006002C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التمام</w:t>
      </w:r>
      <w:r w:rsidR="006002C4" w:rsidRPr="006002C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تم</w:t>
      </w:r>
      <w:r w:rsidR="006002C4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 </w:t>
      </w:r>
      <w:r w:rsidR="006002C4" w:rsidRPr="006002C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الروايتين والوجهين</w:t>
      </w:r>
      <w:r w:rsidR="006002C4" w:rsidRPr="006002C4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ومن تلاميذه أبو علي الحسن بن البنا، له </w:t>
      </w:r>
      <w:r w:rsidR="00987808" w:rsidRPr="0098780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المقنع </w:t>
      </w:r>
      <w:r w:rsidR="0098780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في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شرح الخرقي</w:t>
      </w:r>
      <w:r w:rsidR="00987808" w:rsidRPr="0098780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98780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وأيضًا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أبو جعفر ابن أبي موسى ابنُ أخي أبو علي ابن أبي موسى، هؤلاء هم أصحاب القاضي أبي يعلى.</w:t>
      </w:r>
    </w:p>
    <w:p w:rsidR="002F70E0" w:rsidRPr="008969BD" w:rsidRDefault="002F70E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وممن قد يلحق بهم الإمام عبد القادر الجيلاني، وهو لم يدرك أبا يعلى</w:t>
      </w:r>
      <w:r w:rsidR="0098780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أن له </w:t>
      </w:r>
      <w:r w:rsidR="00987808" w:rsidRPr="0098780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الغنية</w:t>
      </w:r>
      <w:r w:rsidR="00987808" w:rsidRPr="0098780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نمط أصحاب أبي يعلى.</w:t>
      </w:r>
    </w:p>
    <w:p w:rsidR="00FF7D68" w:rsidRDefault="002F70E0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الثانية: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كيف نستفيد من هذه الطبقة؟</w:t>
      </w:r>
    </w:p>
    <w:p w:rsidR="00FF7D68" w:rsidRDefault="002F70E0" w:rsidP="00FF7D6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أولًا: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كثرة النق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 للنصوص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F70E0" w:rsidRPr="008969BD" w:rsidRDefault="00541C53" w:rsidP="00FF7D6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وثاني</w:t>
      </w:r>
      <w:r w:rsidR="00FF7D68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ً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كثرة النقل ل</w:t>
      </w:r>
      <w:r w:rsidR="002F70E0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لوجوه،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كالع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كب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وابن بطة وابن شاق</w:t>
      </w:r>
      <w:r w:rsidR="00B8374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لا، ولكن كانوا يختصرون الرواية والوجه لا كأهل الطبقة الأولى.</w:t>
      </w:r>
    </w:p>
    <w:p w:rsidR="00541C53" w:rsidRPr="008969BD" w:rsidRDefault="00541C53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الثالثة: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أيضًا ب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 التأليف الأصولي في هذه المرحلة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فأل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ف القاضي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الع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وألف أبو الخطاب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التمهيد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وقيل: إنه استفاد من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المعتمد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لأبي الحسين البصري، وأي</w:t>
      </w:r>
      <w:r w:rsidR="00C749AA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ضًا في آخر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C749AA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الروايتين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والوجهين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C749AA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C749AA" w:rsidRPr="008969BD" w:rsidRDefault="00C749AA" w:rsidP="00FF7D6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الرابعة: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أل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ابن أب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يعلى وأبو الخطاب وأبو جعفر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ء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وس المسائل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وهي المسائل التي وافقوا أو خالفوا فيها المذاهب الأخرى، 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وأل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الس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ام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ي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ستوعِب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فحوى ك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كتب الطبقة الوسطى، وفعل مثله ابن ح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مدان في كتاب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ه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الحاوي الكبير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الحاوي الصغير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ولكن في كتب ابن ح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مدان أوهام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وكذلك كتاب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المختصر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تميم الح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اني</w:t>
      </w:r>
      <w:r w:rsidR="00FF7D6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لكنه وصل إلى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الزكاة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ومثل هؤلاء ممن جاء بعد 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الفروع</w:t>
      </w:r>
      <w:r w:rsidR="00FF7D68" w:rsidRPr="00FF7D6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مفلح فقد جمع الأقوال والروايات والأوجه والإجماعات والخلاف مع المذاهب الأخرى.</w:t>
      </w:r>
    </w:p>
    <w:p w:rsidR="003F5A51" w:rsidRDefault="00C1567F" w:rsidP="003F5A5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الفائدة الخامسة</w:t>
      </w:r>
      <w:r w:rsidR="000D6D8E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بعد مرحلة القاضي وتلاميذه بدأ الجمع بين أقوالهم ووجوههم وروايات من تقدمهم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دمج في كتاب بحيث لا ي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نسب لكل واحد قول</w:t>
      </w:r>
      <w:r w:rsidR="003F5A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جهة الاختصار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مرت</w:t>
      </w:r>
      <w:r w:rsidR="007A4C36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D6D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بًا ترتيبًا دقيقًا</w:t>
      </w:r>
      <w:r w:rsidR="003F5A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D6D8E" w:rsidRPr="008969BD" w:rsidRDefault="000D6D8E" w:rsidP="003F5A51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ثم جاء بعد تلاميذ القاضي وتلاميذ تلاميذه رجلان نفع الله بهما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وصارا المرجع في المذهب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وهما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الم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(625ه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ـ) و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A736DC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ق (620هـ) وشيخها واحد وهو ابن الـمَنِّي </w:t>
      </w:r>
      <w:r w:rsidR="00B928D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نصر بن فتيان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البغدادي، فالم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د شرح 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الهداية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لأبي الخطاب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وفيه من القواعد والتحرير للمذهب ما عند حفيده في شرح العمدة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أنه لم يصلنا، وألف 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المحرر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وقد وصلنا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وللآدمي البغدادي 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نو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في معرفة الراجح من الم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حر</w:t>
      </w:r>
      <w:r w:rsidR="00DB592F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DB592F" w:rsidRPr="00DB592F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وله - أي: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المُحرَّر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 xml:space="preserve"> -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شروح كثيرة؛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ثمة شرح لابن تيمية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ولا يوجد إلا نقولات، وشرح لعبد المؤمن الق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ط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يعي، وشرح لابن نصر الله، وحاشية لابن قندس، بل أل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 ابن عب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يدان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زوائد الكافي والم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حر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على الم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0265C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0265C2" w:rsidRPr="008969BD" w:rsidRDefault="000265C2" w:rsidP="00B54655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وأما الم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 فقد ذكر ابن غ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ام أن به انتهت الطبقة الثانية، وأل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َّف خمسة كتب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: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المغني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الكافي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الهادي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العمدة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ـ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المغني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فيه الخلاف العالي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ثم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الكافي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ي</w:t>
      </w:r>
      <w:r w:rsidR="00B54655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ذكر الروايتين ومناطات المسائل وأدلتها، و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الهادي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عمدة الحازم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جمع فيه</w:t>
      </w:r>
      <w:r w:rsidR="00102AF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زوائد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102AF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الهداية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102AF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على 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102AF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مختصر الخرقي</w:t>
      </w:r>
      <w:r w:rsidR="00B54655" w:rsidRPr="00B5465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102AF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B06ED" w:rsidRDefault="00102AFC" w:rsidP="002B06E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وأما كتابه 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فقد رج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 فيه الروايتين من المذهب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ولكن فيه عيب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أنه أطلق الخلاف في كثير من المسائل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فأل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ف شمس الدين النابلسي 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تقييد مطلق الخلاف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وأيض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 الم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شب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لعلاء الدين المرداوي، و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تصحيح الم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160F0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160F0A" w:rsidRPr="00160F0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B6307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نصر الله البغدادي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102AFC" w:rsidRPr="008969BD" w:rsidRDefault="00B6307E" w:rsidP="009C19F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 xml:space="preserve">وشروح 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المقنع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 أو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ها لبهاء الدين المقدسي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فقد شرح 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العمدة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وشرح 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المقنع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دليل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ا، وأيضا 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الممتع في شرح الم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2B06ED" w:rsidRPr="002B06ED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لزين الدين ابن الم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نج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حفيد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أبي المعالي، وأيض</w:t>
      </w:r>
      <w:r w:rsidR="002B06E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كتاب 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الشافي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والم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سم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ى 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الشرح الكبير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لشمس الدين ابن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أبي عمر، فقد أخذ 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المغني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وجعله على 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وهو أهم الشروح وأوسعها، وزاد على 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المغني</w:t>
      </w:r>
      <w:r w:rsidR="004319A2" w:rsidRPr="004319A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تخ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ريجاته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وبي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مخالفة الم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4319A2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 للمذهب، وزاد زيادات ليست كثيرة،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ورتب</w:t>
      </w:r>
      <w:r w:rsidR="00C10A3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على ترتيب المتأخرين،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وأيض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9C19FA" w:rsidRPr="009C19F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الوجيز</w:t>
      </w:r>
      <w:r w:rsidR="009C19FA" w:rsidRPr="009C19F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للد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يلي من ع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لماء العراق فقد شرحه بقيود هامة، وبدأ العلماء لا يزيدون ع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فلك ما في </w:t>
      </w:r>
      <w:r w:rsidR="009C19FA" w:rsidRPr="009C19F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9C19FA" w:rsidRPr="009C19F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F3508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F35083" w:rsidRPr="008969BD" w:rsidRDefault="00F35083" w:rsidP="009C19F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ثم جاء جماعةٌ من الحنابلة فبد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وا ي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رجعون إلى المنهل الأول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إلى كتب الطبقة المتقدمة والمتوسطة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وصارت لهم اتجاهات وآراء وتصحيح للروايات، وأول من أنشأها : تقي الدين ابن تيمية، ثم تلميذه ابن القيم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وتلميذه ابن م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فل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ح، ومنهم ا</w:t>
      </w:r>
      <w:r w:rsidR="007A7AE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بن قاضي الجبل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A7AE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وابن رجب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7A7AE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والزركشي، فكل قول يقوله شيخ الإسلام فإما أن يذكر ما هو المذهب، وإما أن يذكر المشهور ويخالفه فهو اختيار، وإما أن لا يكون سبقه أحد فيكون وجه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7A7AE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في المذهب، ولذا ذكر ابن القيم أن شيخه أولى أن يكون من تلاميذ أبي يعلى 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7A7AE2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أن يكون له وجه؛ لأنه أدرى بروايات وأصول وقواعد المذهب!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A7AE2" w:rsidRPr="008969BD" w:rsidRDefault="007A7AE2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ثم جاء مجموعة وبدأوا يضعون اختيارات تقي الدين، كابن نصر الله وابن قندس وابن الل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َّحام والجَ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رّ</w:t>
      </w:r>
      <w:r w:rsidR="009C19F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اعي.</w:t>
      </w:r>
    </w:p>
    <w:p w:rsidR="00A06A90" w:rsidRDefault="007A7AE2" w:rsidP="00A06A90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السادسة: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سمات هذه المرحلة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</w:p>
    <w:p w:rsidR="00A06A90" w:rsidRDefault="007A7AE2" w:rsidP="00A06A90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فأولًا: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انتشار المذهب في الشام بعد أن كان في العراق، ثم بعد ذلك بقليل بمصر، ثم الحجاز وجزيرة العرب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A06A90" w:rsidRDefault="007A7AE2" w:rsidP="00A06A90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وثاني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ا: كثرة التأليف في الفقه والأصول والقواعد الفقهية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كما ألف ابن رجب والط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وفي وابن قاضي الجبل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A7AE2" w:rsidRPr="008969BD" w:rsidRDefault="007A7AE2" w:rsidP="005F6FE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وثالثًا: تميزوا في نوعية المؤلفات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فأل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فوا في المفردات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وألفوا في أحاديث الأحكام كما في كتاب 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التحقيق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الجوزي و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كفاية المستقنع لأدلة الم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لجمال الدين المرداوي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والد زوجة محمد بن مفلح، وابن أبي المجد 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قر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في أدلة الم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حر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A06A90" w:rsidRPr="00A06A90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A06A90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وأحمد بن عبد الهادي في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حر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وقبلهم الم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ابن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تيمية في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المنتقى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وأيض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في المنظومات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كمنظومة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المفردات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للعمري، ومنظومة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عقد الفرائد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عبد القوي، و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نظم الوجيز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لنصر الله الت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</w:t>
      </w:r>
      <w:r w:rsidR="005F6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ري والد ابن نصر الله، واستفاد أبو يعلى في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الأحكام السلطانية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كتاب الماوردي، وفي كتاب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التعليقة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كتاب أبي الطيب الطبري، كما استفاد أبو الخطاب في 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التمهيد</w:t>
      </w:r>
      <w:r w:rsidR="005F6FE7" w:rsidRPr="005F6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أبي الحسين البصري.</w:t>
      </w:r>
    </w:p>
    <w:p w:rsidR="005F6FE7" w:rsidRPr="009C54BC" w:rsidRDefault="005F6FE7" w:rsidP="005F6FE7">
      <w:pPr>
        <w:ind w:firstLine="432"/>
        <w:jc w:val="center"/>
        <w:rPr>
          <w:rFonts w:ascii="Traditional Arabic" w:hAnsi="Traditional Arabic" w:cs="KFGQPC Uthman Taha Naskh"/>
          <w:b/>
          <w:bCs/>
          <w:color w:val="0070C0"/>
          <w:sz w:val="28"/>
          <w:szCs w:val="28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</w:p>
    <w:p w:rsidR="007A7AE2" w:rsidRPr="009C54BC" w:rsidRDefault="005F6FE7" w:rsidP="005F6FE7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EG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الدرس الرابع</w:t>
      </w:r>
    </w:p>
    <w:p w:rsidR="006763B7" w:rsidRDefault="007A7AE2" w:rsidP="006763B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مميزات طبقة المتأخرين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</w:p>
    <w:p w:rsidR="006763B7" w:rsidRDefault="007A7AE2" w:rsidP="006763B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أولًا: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تبيين المعتمد، وقلة إطلاق الخلاف،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وبيان المشهور من الأقوال، والمعتمد من المسائل والروايات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6763B7" w:rsidRDefault="007A7AE2" w:rsidP="006763B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وثاني</w:t>
      </w:r>
      <w:r w:rsidR="006763B7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ً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قلة الاجتهاد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سواء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ٌ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في التخريج على المسائل أو على القواعد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A7AE2" w:rsidRPr="008969BD" w:rsidRDefault="007A7AE2" w:rsidP="006763B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وثالث</w:t>
      </w:r>
      <w:r w:rsidR="006763B7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ً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F5666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الاعتناء بظواهر العبارات دون الاعتبار بالمناطات.</w:t>
      </w:r>
    </w:p>
    <w:p w:rsidR="00F5666C" w:rsidRPr="008969BD" w:rsidRDefault="00F5666C" w:rsidP="0092395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الثانية: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للمرداوي ثلاثة كت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الإنصاف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تصحيح الفروع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 المشبع</w:t>
      </w:r>
      <w:r w:rsidR="006763B7" w:rsidRPr="006763B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والأخير صار عمدة المتأخرين</w:t>
      </w:r>
      <w:r w:rsidR="006763B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إذ قد حرر ما أطلق فيه ابن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قدامة الخلاف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 أغفل شرط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أو ح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كم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أو استثناء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وزاد مسائل عليه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وترك 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حر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فصار الحنبلي محتاج</w:t>
      </w:r>
      <w:r w:rsidR="00EF0051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للكتابين، ح</w:t>
      </w:r>
      <w:r w:rsidR="00B8374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تى جمع بينهما أربعة، أولهم: العُ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سكري 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في 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الجمع بين المقنع والتنقيح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 xml:space="preserve">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ولم يكمله، وثانيهم: الشو</w:t>
      </w:r>
      <w:r w:rsidR="0092395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كي في 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التوضيح</w:t>
      </w:r>
      <w:r w:rsidR="00EF0051" w:rsidRPr="00EF0051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سهل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يس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92395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أنه أطلق الخلاف في مسائل، </w:t>
      </w:r>
      <w:r w:rsidRPr="008379F7">
        <w:rPr>
          <w:rFonts w:ascii="Traditional Arabic" w:hAnsi="Traditional Arabic" w:cs="KFGQPC Uthman Taha Naskh" w:hint="cs"/>
          <w:sz w:val="40"/>
          <w:szCs w:val="40"/>
          <w:highlight w:val="yellow"/>
          <w:rtl/>
          <w:lang w:bidi="ar-JO"/>
        </w:rPr>
        <w:t>أو يذكر ترجيح</w:t>
      </w:r>
      <w:r w:rsidR="008379F7">
        <w:rPr>
          <w:rFonts w:ascii="Traditional Arabic" w:hAnsi="Traditional Arabic" w:cs="KFGQPC Uthman Taha Naskh" w:hint="cs"/>
          <w:sz w:val="40"/>
          <w:szCs w:val="40"/>
          <w:highlight w:val="yellow"/>
          <w:rtl/>
          <w:lang w:bidi="ar-JO"/>
        </w:rPr>
        <w:t>ً</w:t>
      </w:r>
      <w:r w:rsidRPr="008379F7">
        <w:rPr>
          <w:rFonts w:ascii="Traditional Arabic" w:hAnsi="Traditional Arabic" w:cs="KFGQPC Uthman Taha Naskh" w:hint="cs"/>
          <w:sz w:val="40"/>
          <w:szCs w:val="40"/>
          <w:highlight w:val="yellow"/>
          <w:rtl/>
          <w:lang w:bidi="ar-JO"/>
        </w:rPr>
        <w:t>ا</w:t>
      </w:r>
      <w:r w:rsidR="0092395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وهو يورد خلافًا أكثر من غيره، ويستظهر مسائل،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والثالث ممن جمع بينهما 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لموسى الحجاوي، والرابع 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</w:t>
      </w:r>
      <w:r w:rsidR="008379F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نت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هى الإرادات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النجار الفتوحي، واعتمدوا على 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وتركوا  ما سواهما، كما صار المعتمد عند الشافعية في القرن العاشر: 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النهاية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للرملي (1008) و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التحفة</w:t>
      </w:r>
      <w:r w:rsidR="008379F7" w:rsidRPr="008379F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حجر الهيتمي (973هـ).</w:t>
      </w:r>
    </w:p>
    <w:p w:rsidR="00835EE3" w:rsidRDefault="00F5666C" w:rsidP="00835EE3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الثالثة: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أيسر وأسلس عبارةً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أغمض،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وكان الغموض مقصود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عند أهل العلم؛ لي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ث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 ولو كان يسير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 لسرع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نسيانه، ولئلا ي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عليه من ليس أهلًا له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7C08CE" w:rsidRDefault="00F5666C" w:rsidP="00835EE3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وأيض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رت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 وم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قس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 وم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نو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َّع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 لعل ذلك لأخذ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كثير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من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ستوع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فإن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ستوع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أخذ ونقل كثير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من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خصال القاضي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خصال ابن البنا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EG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وهما معن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ان بالتنويع والتقسيم والترتيب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835EE3" w:rsidRDefault="00F5666C" w:rsidP="00835EE3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و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أكثر فروع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ومسائل من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ومادة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واسعة جد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7C08C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مما جعل البعض يستدرك عليه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فيأخذ من 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الإنصاف</w:t>
      </w:r>
      <w:r w:rsidR="007C08CE" w:rsidRPr="007C08C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بخلاف </w:t>
      </w:r>
      <w:r w:rsidR="00812D75" w:rsidRPr="00812D7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812D75" w:rsidRPr="00812D7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فإنه مأخوذ من </w:t>
      </w:r>
      <w:r w:rsidR="00812D75" w:rsidRPr="00812D7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</w:t>
      </w:r>
      <w:r w:rsidR="00812D75" w:rsidRPr="00812D75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لذا جُعل المعتمد في الخلاف هو 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وأيضا فإن في 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مسائل من الخلاف العالي خلاف</w:t>
      </w:r>
      <w:r w:rsidR="009B481B">
        <w:rPr>
          <w:rFonts w:ascii="Traditional Arabic" w:hAnsi="Traditional Arabic" w:cs="KFGQPC Uthman Taha Naskh" w:hint="cs"/>
          <w:b/>
          <w:sz w:val="40"/>
          <w:szCs w:val="40"/>
          <w:rtl/>
          <w:lang w:bidi="ar-JO"/>
        </w:rPr>
        <w:t>ِ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الشافعية، وكثير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ا من الخلاف النازل، أما في 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فهو قليل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ومن الخلاف النازل في 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ذ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كر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أقوال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942A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شيخ ا</w:t>
      </w:r>
      <w:r w:rsidR="003750C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لإسلام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8942AB" w:rsidRPr="008969BD" w:rsidRDefault="003750C5" w:rsidP="00835EE3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وأيض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835EE3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فصاحب 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9B481B" w:rsidRPr="009B481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كان قاضي</w:t>
      </w:r>
      <w:r w:rsidR="009B481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ًا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وأما صاحب </w:t>
      </w:r>
      <w:r w:rsidR="00321222" w:rsidRPr="0032122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321222" w:rsidRPr="00321222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فكان مفتي دمشق، وكان ابن النجار آخر قضاة مصر من العرب ثم جاء العثمانيون، وقال في كتابه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إنه خالف في </w:t>
      </w:r>
      <w:r w:rsidR="00A4631E" w:rsidRPr="00A4631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التنقيح</w:t>
      </w:r>
      <w:r w:rsidR="00A4631E" w:rsidRPr="00A4631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A4631E" w:rsidRPr="00A4631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A4631E" w:rsidRPr="00A4631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عليه العمل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وبي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مقصوده بالعمل عمل الق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ضاة والح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</w:t>
      </w:r>
      <w:r w:rsidR="00A4631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ام.</w:t>
      </w:r>
    </w:p>
    <w:p w:rsidR="002F4D68" w:rsidRPr="008969BD" w:rsidRDefault="002F4D68" w:rsidP="00E75418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وأما من جمع بين الكتابين فمرعي الك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ي في 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غاية المنتهى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والشرح الموجود لا غير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للإقناع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كش</w:t>
      </w:r>
      <w:r w:rsidR="00E75418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اف الق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ناع</w:t>
      </w:r>
      <w:r w:rsidR="00E75418" w:rsidRPr="00E75418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وهو مليء بالأدلة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وأكثرها مأخوذ من 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بد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 شرح الم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لبرهان الدين ابن م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فل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ح، وع</w:t>
      </w:r>
      <w:r w:rsidR="005C34D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ني بالمقارنة بين 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5C34DA" w:rsidRPr="005C34D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وع</w:t>
      </w:r>
      <w:r w:rsidR="005708A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80058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ني بتفريع مسائل ليست في الأصل.</w:t>
      </w:r>
    </w:p>
    <w:p w:rsidR="00827F19" w:rsidRDefault="0080058E" w:rsidP="00827F1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الخامسة:</w:t>
      </w:r>
    </w:p>
    <w:p w:rsidR="00827F19" w:rsidRDefault="0080058E" w:rsidP="00827F1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فائدة الشروح: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حل</w:t>
      </w:r>
      <w:r w:rsidR="00827F1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الع</w:t>
      </w:r>
      <w:r w:rsidR="00827F1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بارة، والتفريع على الأصل، وذكر الأدلة</w:t>
      </w:r>
      <w:r w:rsidR="00827F19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D11F3E" w:rsidRPr="008969BD" w:rsidRDefault="0080058E" w:rsidP="00827F19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وفائدة الحواشي: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ضبط العبارة، أو الاستدراك عليها، أو الاستدراك على المتون بتصحيح الأخطاء وتبيين ما يحتمل، ف</w:t>
      </w:r>
      <w:r w:rsid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ـ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للإقناع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حاشية وهي للشيخ منصور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وهي أفضل وأعمد حاشية من حواشي المتأخرين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وللب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هوت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فيها كلام ليس في غيره، والحاشية الثاني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للخ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ي.</w:t>
      </w:r>
    </w:p>
    <w:p w:rsidR="0080058E" w:rsidRPr="008969BD" w:rsidRDefault="00D11F3E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 xml:space="preserve">وأما 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نتهى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فله شرح للمؤلف نفسه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أعلم بمقصود كتابه، وشرحه منصور الب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هوت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وهو أدق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شرح المؤلف، وله حواش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ٍ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منها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حاشية للشيخ منصور وهي أول كتبه، وحاشية للخ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وهي كثيرة الاستدراك على المؤلف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وتُعنى ببيان الفروق في المسائل، وحاشية للشيخ عثمان النجدي وهي أنف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ها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وأجاب عن استشكالات ش</w:t>
      </w:r>
      <w:r w:rsidR="00BA28B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يخه، وهي ت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BA28B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عنى بالتقسيم والتنويع، وهناك حاشية لابن غن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BA28B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ام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BA28B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وحاشية لمحمد بن حميد إمام الحرم، وهناك حاشيتان جمعتا الحواشي المتقدمة، وهي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BA28BC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حاشية شيخ شيوخنا عبد الله العنقري، وحاشية ابن قاسم.</w:t>
      </w:r>
    </w:p>
    <w:p w:rsidR="008D37DD" w:rsidRPr="008969BD" w:rsidRDefault="00910FE7" w:rsidP="008969BD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دليل الطالب</w:t>
      </w:r>
      <w:r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له شرح لابن ابن أخيه عبد الله المقدسي، وحاشية لابن عوض، وحاشية الذنّ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ابي تلميذ منصور، و</w:t>
      </w:r>
      <w:r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نيل المآرب</w:t>
      </w:r>
      <w:r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للتغلبي وعليه حاشية لل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بدي، وحاشية لابن غب</w:t>
      </w:r>
      <w:r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8D37D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اش من علماء الإمارات.</w:t>
      </w:r>
    </w:p>
    <w:p w:rsidR="008D37DD" w:rsidRDefault="008D37DD" w:rsidP="00910FE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السادسة: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إذا اختلف 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الإقناع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فطريقة أهل الحجاز ونجد وشرق الجزيرة أن المعتمد ما رج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حه صاحب 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المنتهى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وعند الشاميين ما رجحه مرعي الك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مي في 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غاية المن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ت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هى</w:t>
      </w:r>
      <w:r w:rsidR="00910FE7" w:rsidRPr="00910FE7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910FE7" w:rsidRPr="009C54BC" w:rsidRDefault="00910FE7" w:rsidP="00910FE7">
      <w:pPr>
        <w:ind w:firstLine="432"/>
        <w:jc w:val="center"/>
        <w:rPr>
          <w:rFonts w:ascii="Traditional Arabic" w:hAnsi="Traditional Arabic" w:cs="KFGQPC Uthman Taha Naskh"/>
          <w:b/>
          <w:bCs/>
          <w:color w:val="0070C0"/>
          <w:sz w:val="28"/>
          <w:szCs w:val="28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28"/>
          <w:szCs w:val="28"/>
          <w:rtl/>
          <w:lang w:bidi="ar-JO"/>
        </w:rPr>
        <w:sym w:font="AGA Arabesque" w:char="F023"/>
      </w:r>
    </w:p>
    <w:p w:rsidR="002466F1" w:rsidRPr="009C54BC" w:rsidRDefault="00910FE7" w:rsidP="00910FE7">
      <w:pPr>
        <w:jc w:val="center"/>
        <w:rPr>
          <w:rFonts w:ascii="Traditional Arabic" w:hAnsi="Traditional Arabic" w:cs="KFGQPC Uthman Taha Naskh"/>
          <w:b/>
          <w:bCs/>
          <w:color w:val="FF0000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FF0000"/>
          <w:sz w:val="40"/>
          <w:szCs w:val="40"/>
          <w:rtl/>
          <w:lang w:bidi="ar-JO"/>
        </w:rPr>
        <w:t>الدرس الخامس</w:t>
      </w:r>
    </w:p>
    <w:p w:rsidR="00910FE7" w:rsidRDefault="002466F1" w:rsidP="00910FE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الأولى: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طبقات الفقهاء كثيرة:</w:t>
      </w:r>
    </w:p>
    <w:p w:rsidR="00910FE7" w:rsidRDefault="002466F1" w:rsidP="00910FE7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أولها: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ي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قع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القواعد وإحداث ضوابط لم ي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سبق إليها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وهم ق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كابن أبي موسى والقاضي وابن تيمية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B6308B" w:rsidRDefault="002466F1" w:rsidP="00B6308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والثاني: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صاحب الوجه،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الم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ستق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910FE7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بتقرير الدليل، ولا يتعدى الأصول والقواعد مع إتقانه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كامل الفقه وأصوله وأدلته ومسائله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وتام الرياضة، وهؤلاء سبق ذ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كرهم من تلاميذ القاضي أبي يعلى.</w:t>
      </w:r>
    </w:p>
    <w:p w:rsidR="00B6308B" w:rsidRDefault="002466F1" w:rsidP="00B6308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والثالث: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له الترجيح، </w:t>
      </w:r>
      <w:r w:rsidR="001056CE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وهو الحافظ للفقه، الذي هو تام النفس، </w:t>
      </w:r>
      <w:r w:rsidR="0028044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عارف بالأدلة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B6308B" w:rsidRDefault="002466F1" w:rsidP="00B6308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والرابع: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الناقل</w:t>
      </w:r>
      <w:r w:rsidR="00280445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وهو الحافظ للمسائل، يجيزون له الفتوى ولا يجيزون له الترجيح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B6308B" w:rsidRDefault="00280445" w:rsidP="00B6308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والطبقة الخامسة: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كان عالمًا 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في ع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لم م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عي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كالع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3D7263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لم بالفرائض المتقن له دون غيره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2466F1" w:rsidRPr="008969BD" w:rsidRDefault="003D7263" w:rsidP="00B6308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والطبقة السادسة: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من كان عالمًا في مسألة أو مسألتين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بناء على القول بتجزؤ  الاجتهاد.</w:t>
      </w:r>
    </w:p>
    <w:p w:rsidR="0093259A" w:rsidRDefault="00492DD4" w:rsidP="0093259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</w:t>
      </w:r>
      <w:r w:rsidR="00E25BA4"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ثانية</w:t>
      </w: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الترجيح 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إما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باعتبار النقل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هي للمتقدمين والمتوسطين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والمتأخرين، أما المتقدم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فباعتبار الأسماء، والمتأخرون باعتبار م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م</w:t>
      </w:r>
      <w:r w:rsidR="00B6308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الأسماء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إ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ما الترجيح بالقاعدة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المستقر أخيرًا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93259A" w:rsidRDefault="00E25BA4" w:rsidP="0093259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وي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عرف المذهب حال الخلاف النازل 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باعتبارات:</w:t>
      </w:r>
    </w:p>
    <w:p w:rsidR="0093259A" w:rsidRDefault="00492DD4" w:rsidP="0093259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أولًا: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نص الإمام،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فيقولون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هذه المسألة أنص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ُّ.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ومنه كتاب 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الوجيز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للد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لي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93259A" w:rsidRDefault="00492DD4" w:rsidP="0093259A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ثانيًا: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 الكتاب والسنة والإجماع،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وهو م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قد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 على الأول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كما قال جميع الأئمة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اضربوا بكلامي ع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رض الحائط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وهناك أربعة كتب في الخلاف ر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حت باعتبار النص، وهي 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مجمع البحرين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عبد القوي، ونظمه 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للمقنع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التذكرة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عبدوس و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عمدة الفقه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ق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دامة، وكلها معتمدة في 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الإنصاف</w:t>
      </w:r>
      <w:r w:rsidR="0093259A" w:rsidRPr="0093259A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D1365E" w:rsidRDefault="00492DD4" w:rsidP="00D1365E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lastRenderedPageBreak/>
        <w:t>ثالثًا: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 القواعد، 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ولهم في ذلك مسلكان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مسلك ي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سب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القاعدة وي</w:t>
      </w:r>
      <w:r w:rsidR="0093259A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خرجها بعد تنقيحها، وهم أهل الطبقة الأولى، وبعضهم يأخذ القاعدة التي سبق تنقيحها وي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 باعتبارها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وهم أهل الطبقة الثانية والثالثة، مثلًا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الشك في الطلاق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فأهل الطبقة الثانية والثالثة ي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ِّ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حون وق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وع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ه لقاعدة الاحتياط في العبادات، وأما أهل الطبقة الأولى فتقي الدين لا يرى وقوعه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لئلا تتزوج غيره بشك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E25BA4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فاليقين إمساك النكاح مع الأولى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492DD4" w:rsidRPr="008969BD" w:rsidRDefault="00492DD4" w:rsidP="00D1365E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رابعًا: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 الأكثر.</w:t>
      </w:r>
    </w:p>
    <w:p w:rsidR="00E25BA4" w:rsidRPr="008969BD" w:rsidRDefault="00E25BA4" w:rsidP="00D1365E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الثالثة: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الترجيح باعتبار الألفاظ والدلالات، إذا قالوا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أنص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فمعناه نص الإمام، أو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مشهور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 الأكثر، أو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الأصح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فباعتبار القواعد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(وخالف الجر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اعي في ذلك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فعنده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اتفق عليه الشيخان 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والم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)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المعتمد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فباعتبار كل ما مضى، 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: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الأظهر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عند المتوسطين ما رجحه أبو البركات، والمتأخر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 ما 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حه 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وف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ق، إلا صاحب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غاية المطلب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في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عن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به ما 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حه ابن ح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مدان، أو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الأقوى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أي قاعدة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إلا صاحب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غاية المطلب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حه 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د وانفرد به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: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الأرجح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باعتبار الدليل، وبعض المتأخرين يعني ما 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حه الد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لي في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الوجيز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، ومن أصعب صيغ الترجيح 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التقديم</w:t>
      </w:r>
      <w:r w:rsidR="00D1365E" w:rsidRP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D1365E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فإذا قد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مه فهو 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ح وغيره مرجوح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="003C06EB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D1365E" w:rsidRDefault="003C06EB" w:rsidP="00D1365E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9C54BC">
        <w:rPr>
          <w:rFonts w:ascii="Traditional Arabic" w:hAnsi="Traditional Arabic" w:cs="KFGQPC Uthman Taha Naskh" w:hint="cs"/>
          <w:b/>
          <w:bCs/>
          <w:color w:val="0070C0"/>
          <w:sz w:val="40"/>
          <w:szCs w:val="40"/>
          <w:rtl/>
          <w:lang w:bidi="ar-JO"/>
        </w:rPr>
        <w:t>الفائدة الرابعة: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مصطلحات المذهب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</w:p>
    <w:p w:rsidR="0068420B" w:rsidRDefault="003C06EB" w:rsidP="006842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له مصطلحات أصولية وفقهية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وفي الأعلام والكتب، فمثل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ً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الاستحسان عند الحنابلة تخصيص العلة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غير الاستحسان الم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نك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ر له الشافعي، والحاجة والضرورة عند الغز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الي والج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وي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 وغيره غير التي عند فقهائنا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فعندهم الضرورة</w:t>
      </w:r>
      <w:r w:rsidR="00D1365E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يترتب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عليه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فوات أحد المقاصد الخمس 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lastRenderedPageBreak/>
        <w:t>الكلية، والحاجة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ما ترتب على عدم فعلها م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شق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خارجة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ٌ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عن العادة، وعند فقهائنا: الضرورة الحاجة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لعين الشيء، والحاجة لصفته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3C06EB" w:rsidRDefault="003C06EB" w:rsidP="006842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م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ظ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ن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المصطلحات الأصولية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مقدمة 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لواضح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عقيل، ومقدمة 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التحرير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فمن الكتب الم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فرد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ة في المصطلحات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طل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 على ألفاظ الم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ُ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قن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أبي الفتح الب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َ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ع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ْ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ي، و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الدر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الن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ق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ِ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ي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ُّ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لابن عبد الهادي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 و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المصطلحات الفقهية واستعمالاتها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لعلي الهندي، وهناك كتاب 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لغة الفقهاء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،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وأول من أل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َّ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ف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: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ابن جِني في لغة مذهب الإمام مالك</w:t>
      </w:r>
      <w:r w:rsidR="0068420B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؛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 xml:space="preserve"> شرح 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«</w:t>
      </w:r>
      <w:r w:rsidR="0029492D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غريب المدونة</w:t>
      </w:r>
      <w:r w:rsidR="0068420B" w:rsidRPr="0068420B">
        <w:rPr>
          <w:rFonts w:ascii="Traditional Arabic" w:hAnsi="Traditional Arabic" w:cs="KFGQPC Uthman Taha Naskh" w:hint="cs"/>
          <w:b/>
          <w:sz w:val="40"/>
          <w:szCs w:val="40"/>
          <w:rtl/>
          <w:lang w:bidi="ar-EG"/>
        </w:rPr>
        <w:t>»</w:t>
      </w:r>
      <w:r w:rsidR="00C10A36" w:rsidRPr="008969BD">
        <w:rPr>
          <w:rFonts w:ascii="Traditional Arabic" w:hAnsi="Traditional Arabic" w:cs="KFGQPC Uthman Taha Naskh" w:hint="cs"/>
          <w:sz w:val="40"/>
          <w:szCs w:val="40"/>
          <w:rtl/>
          <w:lang w:bidi="ar-JO"/>
        </w:rPr>
        <w:t>.</w:t>
      </w:r>
    </w:p>
    <w:p w:rsidR="004D1651" w:rsidRPr="008969BD" w:rsidRDefault="004D1651" w:rsidP="0068420B">
      <w:pPr>
        <w:ind w:firstLine="432"/>
        <w:jc w:val="lowKashida"/>
        <w:rPr>
          <w:rFonts w:ascii="Traditional Arabic" w:hAnsi="Traditional Arabic" w:cs="KFGQPC Uthman Taha Naskh"/>
          <w:sz w:val="40"/>
          <w:szCs w:val="40"/>
          <w:rtl/>
          <w:lang w:bidi="ar-JO"/>
        </w:rPr>
      </w:pPr>
    </w:p>
    <w:p w:rsidR="004D1651" w:rsidRPr="004D1651" w:rsidRDefault="004D1651" w:rsidP="004D1651">
      <w:pPr>
        <w:ind w:left="283"/>
        <w:jc w:val="center"/>
        <w:rPr>
          <w:rFonts w:ascii="Traditional Arabic" w:hAnsi="Traditional Arabic" w:cs="KFGQPC Uthman Taha Naskh"/>
          <w:sz w:val="40"/>
          <w:szCs w:val="40"/>
          <w:rtl/>
        </w:rPr>
      </w:pPr>
      <w:r w:rsidRPr="004D1651">
        <w:rPr>
          <w:rFonts w:ascii="Traditional Arabic" w:hAnsi="Traditional Arabic" w:cs="KFGQPC Uthman Taha Naskh"/>
          <w:sz w:val="40"/>
          <w:szCs w:val="40"/>
          <w:rtl/>
        </w:rPr>
        <w:t>أبو الهمام البر</w:t>
      </w:r>
      <w:bookmarkStart w:id="0" w:name="_GoBack"/>
      <w:bookmarkEnd w:id="0"/>
      <w:r w:rsidRPr="004D1651">
        <w:rPr>
          <w:rFonts w:ascii="Traditional Arabic" w:hAnsi="Traditional Arabic" w:cs="KFGQPC Uthman Taha Naskh"/>
          <w:sz w:val="40"/>
          <w:szCs w:val="40"/>
          <w:rtl/>
        </w:rPr>
        <w:t>قاوي</w:t>
      </w:r>
    </w:p>
    <w:p w:rsidR="008942AB" w:rsidRPr="00B8374E" w:rsidRDefault="004D1651" w:rsidP="004D1651">
      <w:pPr>
        <w:ind w:left="283"/>
        <w:jc w:val="center"/>
        <w:rPr>
          <w:rFonts w:ascii="Traditional Arabic" w:hAnsi="Traditional Arabic" w:cs="KFGQPC Uthman Taha Naskh" w:hint="cs"/>
          <w:sz w:val="40"/>
          <w:szCs w:val="40"/>
          <w:rtl/>
        </w:rPr>
      </w:pPr>
      <w:r w:rsidRPr="004D1651">
        <w:rPr>
          <w:rFonts w:ascii="Traditional Arabic" w:hAnsi="Traditional Arabic" w:cs="KFGQPC Uthman Taha Naskh"/>
          <w:sz w:val="40"/>
          <w:szCs w:val="40"/>
          <w:rtl/>
        </w:rPr>
        <w:t>@</w:t>
      </w:r>
      <w:r w:rsidRPr="004D1651">
        <w:rPr>
          <w:rFonts w:ascii="Traditional Arabic" w:hAnsi="Traditional Arabic" w:cs="KFGQPC Uthman Taha Naskh"/>
          <w:sz w:val="40"/>
          <w:szCs w:val="40"/>
        </w:rPr>
        <w:t>HOOMAAM</w:t>
      </w:r>
    </w:p>
    <w:sectPr w:rsidR="008942AB" w:rsidRPr="00B8374E" w:rsidSect="00D34365">
      <w:headerReference w:type="default" r:id="rId9"/>
      <w:pgSz w:w="11906" w:h="16838"/>
      <w:pgMar w:top="426" w:right="566" w:bottom="709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36" w:rsidRDefault="00C10F36" w:rsidP="00A7092E">
      <w:pPr>
        <w:spacing w:after="0" w:line="240" w:lineRule="auto"/>
      </w:pPr>
      <w:r>
        <w:separator/>
      </w:r>
    </w:p>
  </w:endnote>
  <w:endnote w:type="continuationSeparator" w:id="0">
    <w:p w:rsidR="00C10F36" w:rsidRDefault="00C10F36" w:rsidP="00A7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36" w:rsidRDefault="00C10F36" w:rsidP="00A7092E">
      <w:pPr>
        <w:spacing w:after="0" w:line="240" w:lineRule="auto"/>
      </w:pPr>
      <w:r>
        <w:separator/>
      </w:r>
    </w:p>
  </w:footnote>
  <w:footnote w:type="continuationSeparator" w:id="0">
    <w:p w:rsidR="00C10F36" w:rsidRDefault="00C10F36" w:rsidP="00A7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2E" w:rsidRPr="009C54BC" w:rsidRDefault="00C10F36" w:rsidP="00A74780">
    <w:pPr>
      <w:pStyle w:val="a6"/>
      <w:ind w:firstLine="547"/>
      <w:jc w:val="lowKashida"/>
      <w:rPr>
        <w:rFonts w:ascii="Lotus Linotype" w:hAnsi="Lotus Linotype" w:cs="KFGQPC Uthman Taha Naskh"/>
        <w:b/>
        <w:bCs/>
        <w:color w:val="0070C0"/>
        <w:sz w:val="32"/>
        <w:szCs w:val="32"/>
        <w:rtl/>
      </w:rPr>
    </w:pPr>
    <w:r>
      <w:rPr>
        <w:rFonts w:ascii="Lotus Linotype" w:hAnsi="Lotus Linotype" w:cs="KFGQPC Uthman Taha Naskh"/>
        <w:sz w:val="32"/>
        <w:szCs w:val="32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87.35pt;margin-top:4.9pt;width:38.9pt;height:23.5pt;z-index:251660288;mso-position-horizontal-relative:page" o:allowincell="f" filled="f" stroked="f">
          <v:textbox style="mso-next-textbox:#_x0000_s2050">
            <w:txbxContent>
              <w:p w:rsidR="00A7092E" w:rsidRDefault="00512B48" w:rsidP="00A7092E">
                <w:pPr>
                  <w:pStyle w:val="3"/>
                  <w:widowControl w:val="0"/>
                  <w:spacing w:line="360" w:lineRule="exact"/>
                  <w:ind w:left="-130" w:right="-142"/>
                  <w:jc w:val="center"/>
                  <w:rPr>
                    <w:szCs w:val="32"/>
                    <w:rtl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 w:rsidR="00A7092E">
                  <w:rPr>
                    <w:rStyle w:val="a8"/>
                    <w:rtl/>
                  </w:rPr>
                  <w:instrText xml:space="preserve"> </w:instrText>
                </w:r>
                <w:r w:rsidR="00A7092E">
                  <w:rPr>
                    <w:rStyle w:val="a8"/>
                  </w:rPr>
                  <w:instrText>PAGE</w:instrText>
                </w:r>
                <w:r w:rsidR="00A7092E">
                  <w:rPr>
                    <w:rStyle w:val="a8"/>
                    <w:rtl/>
                  </w:rPr>
                  <w:instrText xml:space="preserve">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 w:rsidR="004D1651">
                  <w:rPr>
                    <w:rStyle w:val="a8"/>
                    <w:rtl/>
                  </w:rPr>
                  <w:t>19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  <w:p w:rsidR="00A7092E" w:rsidRDefault="00A7092E" w:rsidP="00A7092E">
                <w:pPr>
                  <w:jc w:val="both"/>
                  <w:rPr>
                    <w:rtl/>
                  </w:rPr>
                </w:pPr>
              </w:p>
            </w:txbxContent>
          </v:textbox>
          <w10:wrap anchorx="page"/>
        </v:shape>
      </w:pict>
    </w:r>
    <w:r>
      <w:rPr>
        <w:rFonts w:ascii="Lotus Linotype" w:hAnsi="Lotus Linotype" w:cs="KFGQPC Uthman Taha Naskh"/>
        <w:sz w:val="32"/>
        <w:szCs w:val="32"/>
        <w:rtl/>
      </w:rPr>
      <w:pict>
        <v:oval id="_x0000_s2051" style="position:absolute;left:0;text-align:left;margin-left:88.85pt;margin-top:3.25pt;width:35.35pt;height:25.5pt;z-index:-251655168;mso-position-horizontal-relative:page" o:allowincell="f" strokeweight="1pt">
          <w10:wrap anchorx="page"/>
        </v:oval>
      </w:pict>
    </w:r>
    <w:r w:rsidR="00A74780">
      <w:rPr>
        <w:rFonts w:ascii="Lotus Linotype" w:hAnsi="Lotus Linotype" w:cs="KFGQPC Uthman Taha Naskh" w:hint="cs"/>
        <w:sz w:val="32"/>
        <w:szCs w:val="32"/>
        <w:rtl/>
      </w:rPr>
      <w:t xml:space="preserve">          </w:t>
    </w:r>
    <w:r w:rsidR="00A74780" w:rsidRPr="009C54BC">
      <w:rPr>
        <w:rFonts w:ascii="Lotus Linotype" w:hAnsi="Lotus Linotype" w:cs="KFGQPC Uthman Taha Naskh" w:hint="cs"/>
        <w:b/>
        <w:bCs/>
        <w:color w:val="0070C0"/>
        <w:sz w:val="32"/>
        <w:szCs w:val="32"/>
        <w:rtl/>
      </w:rPr>
      <w:t xml:space="preserve">فرائد الفوائد  </w:t>
    </w:r>
    <w:r w:rsidR="00A74780" w:rsidRPr="009C54BC">
      <w:rPr>
        <w:rFonts w:ascii="Lotus Linotype" w:hAnsi="Lotus Linotype" w:cs="KFGQPC Uthman Taha Naskh" w:hint="cs"/>
        <w:b/>
        <w:bCs/>
        <w:color w:val="0070C0"/>
        <w:sz w:val="32"/>
        <w:szCs w:val="32"/>
        <w:rtl/>
      </w:rPr>
      <w:tab/>
    </w:r>
    <w:r w:rsidR="00A74780" w:rsidRPr="009C54BC">
      <w:rPr>
        <w:rFonts w:ascii="Lotus Linotype" w:hAnsi="Lotus Linotype" w:cs="KFGQPC Uthman Taha Naskh" w:hint="cs"/>
        <w:b/>
        <w:bCs/>
        <w:color w:val="0070C0"/>
        <w:sz w:val="32"/>
        <w:szCs w:val="32"/>
        <w:rtl/>
      </w:rPr>
      <w:tab/>
    </w:r>
    <w:r w:rsidR="00A74780" w:rsidRPr="009C54BC">
      <w:rPr>
        <w:rFonts w:ascii="Lotus Linotype" w:hAnsi="Lotus Linotype" w:cs="KFGQPC Uthman Taha Naskh" w:hint="cs"/>
        <w:b/>
        <w:bCs/>
        <w:color w:val="0070C0"/>
        <w:sz w:val="32"/>
        <w:szCs w:val="32"/>
        <w:rtl/>
      </w:rPr>
      <w:tab/>
      <w:t xml:space="preserve">     </w:t>
    </w:r>
    <w:r w:rsidR="00A74780" w:rsidRPr="009C54BC">
      <w:rPr>
        <w:rFonts w:ascii="Lotus Linotype" w:hAnsi="Lotus Linotype" w:cs="KFGQPC Uthman Taha Naskh" w:hint="cs"/>
        <w:b/>
        <w:bCs/>
        <w:color w:val="0070C0"/>
        <w:sz w:val="32"/>
        <w:szCs w:val="32"/>
        <w:rtl/>
      </w:rPr>
      <w:tab/>
    </w:r>
  </w:p>
  <w:p w:rsidR="00A7092E" w:rsidRDefault="00C10F36" w:rsidP="00A7092E">
    <w:pPr>
      <w:pStyle w:val="a5"/>
      <w:tabs>
        <w:tab w:val="clear" w:pos="4153"/>
        <w:tab w:val="clear" w:pos="8306"/>
        <w:tab w:val="left" w:pos="440"/>
        <w:tab w:val="left" w:pos="949"/>
        <w:tab w:val="left" w:pos="1423"/>
        <w:tab w:val="left" w:pos="7280"/>
        <w:tab w:val="left" w:pos="7326"/>
      </w:tabs>
      <w:ind w:firstLine="547"/>
      <w:jc w:val="lowKashida"/>
    </w:pPr>
    <w:r>
      <w:rPr>
        <w:rFonts w:ascii="Lotus Linotype" w:hAnsi="Lotus Linotype"/>
        <w:szCs w:val="24"/>
      </w:rPr>
      <w:pict>
        <v:line id="_x0000_s2049" style="position:absolute;left:0;text-align:left;z-index:251659264;mso-position-horizontal-relative:page" from="66pt,4.65pt" to="531.8pt,4.65pt" strokeweight="4.5pt">
          <v:stroke linestyle="thinThick"/>
          <w10:wrap anchorx="page"/>
        </v:line>
      </w:pict>
    </w:r>
  </w:p>
  <w:p w:rsidR="00A7092E" w:rsidRDefault="00A709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E7943"/>
    <w:multiLevelType w:val="hybridMultilevel"/>
    <w:tmpl w:val="7EC0F56C"/>
    <w:lvl w:ilvl="0" w:tplc="F822B72A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365"/>
    <w:rsid w:val="00000621"/>
    <w:rsid w:val="000265C2"/>
    <w:rsid w:val="00043AC6"/>
    <w:rsid w:val="000543B3"/>
    <w:rsid w:val="000B32B8"/>
    <w:rsid w:val="000D6D8E"/>
    <w:rsid w:val="000F5CD7"/>
    <w:rsid w:val="001001ED"/>
    <w:rsid w:val="00102AFC"/>
    <w:rsid w:val="001056CE"/>
    <w:rsid w:val="00105EE1"/>
    <w:rsid w:val="00122771"/>
    <w:rsid w:val="001366AF"/>
    <w:rsid w:val="00160F0A"/>
    <w:rsid w:val="00197080"/>
    <w:rsid w:val="001A6D60"/>
    <w:rsid w:val="001B54A9"/>
    <w:rsid w:val="002466F1"/>
    <w:rsid w:val="00280445"/>
    <w:rsid w:val="00283984"/>
    <w:rsid w:val="0029492D"/>
    <w:rsid w:val="002B06ED"/>
    <w:rsid w:val="002D3AEF"/>
    <w:rsid w:val="002E4F02"/>
    <w:rsid w:val="002F4D68"/>
    <w:rsid w:val="002F70E0"/>
    <w:rsid w:val="00312DDE"/>
    <w:rsid w:val="00321222"/>
    <w:rsid w:val="00373045"/>
    <w:rsid w:val="003750C5"/>
    <w:rsid w:val="003A67C2"/>
    <w:rsid w:val="003B03DD"/>
    <w:rsid w:val="003C06EB"/>
    <w:rsid w:val="003D43B2"/>
    <w:rsid w:val="003D7263"/>
    <w:rsid w:val="003F5A51"/>
    <w:rsid w:val="00401416"/>
    <w:rsid w:val="00403DC1"/>
    <w:rsid w:val="004319A2"/>
    <w:rsid w:val="00440790"/>
    <w:rsid w:val="004428E0"/>
    <w:rsid w:val="004660AB"/>
    <w:rsid w:val="00492DD4"/>
    <w:rsid w:val="004A44EC"/>
    <w:rsid w:val="004B36DC"/>
    <w:rsid w:val="004D1651"/>
    <w:rsid w:val="004E2C86"/>
    <w:rsid w:val="004F6446"/>
    <w:rsid w:val="00512B48"/>
    <w:rsid w:val="00521F71"/>
    <w:rsid w:val="00541C53"/>
    <w:rsid w:val="005553FB"/>
    <w:rsid w:val="005708AA"/>
    <w:rsid w:val="00576409"/>
    <w:rsid w:val="00593CFC"/>
    <w:rsid w:val="005A3A72"/>
    <w:rsid w:val="005A678A"/>
    <w:rsid w:val="005A6E3B"/>
    <w:rsid w:val="005C34DA"/>
    <w:rsid w:val="005F6FE7"/>
    <w:rsid w:val="006002C4"/>
    <w:rsid w:val="006177F8"/>
    <w:rsid w:val="00635838"/>
    <w:rsid w:val="00645980"/>
    <w:rsid w:val="006763B7"/>
    <w:rsid w:val="0068420B"/>
    <w:rsid w:val="00693D77"/>
    <w:rsid w:val="006A578C"/>
    <w:rsid w:val="006E213D"/>
    <w:rsid w:val="00700506"/>
    <w:rsid w:val="007426CD"/>
    <w:rsid w:val="00755E0B"/>
    <w:rsid w:val="00784839"/>
    <w:rsid w:val="007A1376"/>
    <w:rsid w:val="007A4C36"/>
    <w:rsid w:val="007A7AE2"/>
    <w:rsid w:val="007C08CE"/>
    <w:rsid w:val="007D1499"/>
    <w:rsid w:val="007D1BFB"/>
    <w:rsid w:val="007D550B"/>
    <w:rsid w:val="007E0741"/>
    <w:rsid w:val="0080058E"/>
    <w:rsid w:val="008066D5"/>
    <w:rsid w:val="00812D75"/>
    <w:rsid w:val="00827F19"/>
    <w:rsid w:val="00835EE3"/>
    <w:rsid w:val="008379F7"/>
    <w:rsid w:val="008554C9"/>
    <w:rsid w:val="008573FF"/>
    <w:rsid w:val="00890485"/>
    <w:rsid w:val="008942AB"/>
    <w:rsid w:val="00895A18"/>
    <w:rsid w:val="008969BD"/>
    <w:rsid w:val="008970F5"/>
    <w:rsid w:val="008C0CB0"/>
    <w:rsid w:val="008C41A7"/>
    <w:rsid w:val="008D37DD"/>
    <w:rsid w:val="008F2C2F"/>
    <w:rsid w:val="0090389B"/>
    <w:rsid w:val="00910FE7"/>
    <w:rsid w:val="0092395A"/>
    <w:rsid w:val="00926961"/>
    <w:rsid w:val="0093259A"/>
    <w:rsid w:val="00941D1D"/>
    <w:rsid w:val="00954F9B"/>
    <w:rsid w:val="00987808"/>
    <w:rsid w:val="0099157E"/>
    <w:rsid w:val="009B481B"/>
    <w:rsid w:val="009B680D"/>
    <w:rsid w:val="009C19FA"/>
    <w:rsid w:val="009C54BC"/>
    <w:rsid w:val="009F5F13"/>
    <w:rsid w:val="00A06A90"/>
    <w:rsid w:val="00A15A48"/>
    <w:rsid w:val="00A436C2"/>
    <w:rsid w:val="00A4631E"/>
    <w:rsid w:val="00A52979"/>
    <w:rsid w:val="00A7092E"/>
    <w:rsid w:val="00A736DC"/>
    <w:rsid w:val="00A74780"/>
    <w:rsid w:val="00AA7623"/>
    <w:rsid w:val="00AB3DC6"/>
    <w:rsid w:val="00B06998"/>
    <w:rsid w:val="00B06F24"/>
    <w:rsid w:val="00B2755B"/>
    <w:rsid w:val="00B27812"/>
    <w:rsid w:val="00B54655"/>
    <w:rsid w:val="00B6307E"/>
    <w:rsid w:val="00B6308B"/>
    <w:rsid w:val="00B75EA2"/>
    <w:rsid w:val="00B80F28"/>
    <w:rsid w:val="00B8374E"/>
    <w:rsid w:val="00B928DB"/>
    <w:rsid w:val="00BA28BC"/>
    <w:rsid w:val="00BA7CAA"/>
    <w:rsid w:val="00C05DE1"/>
    <w:rsid w:val="00C06271"/>
    <w:rsid w:val="00C10A36"/>
    <w:rsid w:val="00C10F36"/>
    <w:rsid w:val="00C1567F"/>
    <w:rsid w:val="00C3003A"/>
    <w:rsid w:val="00C31152"/>
    <w:rsid w:val="00C3213F"/>
    <w:rsid w:val="00C749AA"/>
    <w:rsid w:val="00C76E63"/>
    <w:rsid w:val="00CA4F53"/>
    <w:rsid w:val="00CE3CD1"/>
    <w:rsid w:val="00CF1A32"/>
    <w:rsid w:val="00D11F3E"/>
    <w:rsid w:val="00D1365E"/>
    <w:rsid w:val="00D32730"/>
    <w:rsid w:val="00D34365"/>
    <w:rsid w:val="00D41E21"/>
    <w:rsid w:val="00D51C41"/>
    <w:rsid w:val="00D51CF2"/>
    <w:rsid w:val="00D94FF4"/>
    <w:rsid w:val="00DB592F"/>
    <w:rsid w:val="00DC22F2"/>
    <w:rsid w:val="00DD5B1A"/>
    <w:rsid w:val="00DF2F37"/>
    <w:rsid w:val="00E007C0"/>
    <w:rsid w:val="00E143E5"/>
    <w:rsid w:val="00E25BA4"/>
    <w:rsid w:val="00E43276"/>
    <w:rsid w:val="00E4683F"/>
    <w:rsid w:val="00E6500E"/>
    <w:rsid w:val="00E7266A"/>
    <w:rsid w:val="00E75418"/>
    <w:rsid w:val="00EB5280"/>
    <w:rsid w:val="00EE133A"/>
    <w:rsid w:val="00EF0051"/>
    <w:rsid w:val="00F218E9"/>
    <w:rsid w:val="00F24CCD"/>
    <w:rsid w:val="00F25884"/>
    <w:rsid w:val="00F348B5"/>
    <w:rsid w:val="00F35083"/>
    <w:rsid w:val="00F41F6F"/>
    <w:rsid w:val="00F5666C"/>
    <w:rsid w:val="00F91E2B"/>
    <w:rsid w:val="00FC4DD5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85F542D6-42DB-4E94-BF8B-E6F4FE3A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34365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B75EA2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C05DE1"/>
    <w:pPr>
      <w:ind w:left="720"/>
      <w:contextualSpacing/>
    </w:pPr>
  </w:style>
  <w:style w:type="paragraph" w:styleId="a5">
    <w:name w:val="header"/>
    <w:basedOn w:val="a"/>
    <w:link w:val="Char"/>
    <w:unhideWhenUsed/>
    <w:rsid w:val="00A7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A7092E"/>
  </w:style>
  <w:style w:type="paragraph" w:styleId="a6">
    <w:name w:val="footer"/>
    <w:basedOn w:val="a"/>
    <w:link w:val="Char0"/>
    <w:unhideWhenUsed/>
    <w:rsid w:val="00A70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A7092E"/>
  </w:style>
  <w:style w:type="paragraph" w:styleId="a7">
    <w:name w:val="Balloon Text"/>
    <w:basedOn w:val="a"/>
    <w:link w:val="Char1"/>
    <w:uiPriority w:val="99"/>
    <w:semiHidden/>
    <w:unhideWhenUsed/>
    <w:rsid w:val="00A7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7092E"/>
    <w:rPr>
      <w:rFonts w:ascii="Tahoma" w:hAnsi="Tahoma" w:cs="Tahoma"/>
      <w:sz w:val="16"/>
      <w:szCs w:val="16"/>
    </w:rPr>
  </w:style>
  <w:style w:type="character" w:styleId="a8">
    <w:name w:val="page number"/>
    <w:rsid w:val="00A7092E"/>
    <w:rPr>
      <w:rFonts w:cs="Times New Roman"/>
      <w:szCs w:val="32"/>
    </w:rPr>
  </w:style>
  <w:style w:type="paragraph" w:styleId="3">
    <w:name w:val="Body Text 3"/>
    <w:basedOn w:val="a"/>
    <w:link w:val="3Char"/>
    <w:rsid w:val="00A7092E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3Char">
    <w:name w:val="نص أساسي 3 Char"/>
    <w:basedOn w:val="a0"/>
    <w:link w:val="3"/>
    <w:rsid w:val="00A7092E"/>
    <w:rPr>
      <w:rFonts w:ascii="Times New Roman" w:eastAsia="Times New Roman" w:hAnsi="Times New Roman" w:cs="Traditional Arabic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8wQ8_AW0LxjB1KgpAH9CjJH590slY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0F51-2C49-4D5E-A447-7C12DD1D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abuhamza alenizi</cp:lastModifiedBy>
  <cp:revision>4</cp:revision>
  <dcterms:created xsi:type="dcterms:W3CDTF">2016-09-29T11:09:00Z</dcterms:created>
  <dcterms:modified xsi:type="dcterms:W3CDTF">2016-10-07T18:22:00Z</dcterms:modified>
</cp:coreProperties>
</file>