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34" w:rsidRPr="00A35E34" w:rsidRDefault="00A35E34" w:rsidP="003A284F">
      <w:pPr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r w:rsidR="003A284F" w:rsidRPr="003A284F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التيامن</w:t>
      </w: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.   </w:t>
      </w:r>
    </w:p>
    <w:p w:rsidR="00A35E34" w:rsidRPr="00A35E34" w:rsidRDefault="00A35E34" w:rsidP="00A35E34">
      <w:pPr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معاشر المؤمنين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حديثنا اليوم عن سنة من سنن المصطفى صلى الله عليه وسلم في السلوك الحركي للمسلم سنها النبي صلى الله عليه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وسلم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شعارا للأمة ،ومجلبة للخير والبركة  ، إنها سنة التيامن  عباد الله ،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والتيامن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هو الاخذ والبدء باليمين . </w:t>
      </w:r>
      <w:bookmarkStart w:id="0" w:name="_GoBack"/>
      <w:bookmarkEnd w:id="0"/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قال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النووي :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قاعدة الشرع المستمرة استحباب البداءة باليمين في كل ما كان من باب التكريم والتزيين وما كان بضدها استحب التياسر.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واتفقت معاجم اللغة عباد الله على أن معنى «اليمين» لغة يشمل أموراً عدة وكلها طيبة، كالبركة والقوة والشدة. ومن أجل ذلك عني الإسلام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بالتيامن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،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فقد جاء ذكر التيامن من الكتاب العزيز والسنة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المطهرة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وحيثما ذكرت اليمين فثم الخير والبشارة والكرامة والبركة ، قال تعالى: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﴿ يَوْمَ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نَدْعُو كُلَّ أُنَاسٍ بِإِمَامِهِمْ فَمَنْ أُوتِيَ كِتَابَهُ بِيَمِينِهِ فَأُولَئِكَ يَقْرَءُونَ كِتَابَهُمْ وَلَا يُظْلَمُونَ فَتِيلًا ﴾ [الإسراء: 71].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وإن أول علامةٍ للنجاة وبشارةٍ للفوز يوم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الحشر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أن يُعطى المرء كتابه  بيمينه، فيُنادي حينها فرحا ﴿ هَاؤُمُ اقْرَءُوا كِتَابِيَهْ * إِنِّي ظَنَنْتُ أَنِّي مُلَاقٍ حِسَابِيَهْ ﴾ [الحاقة: 19، 20]. كما أن أعظم البشارات في ذلك الموقف العصيب عباد الله أن يُبشر المرء أنه من أصحاب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اليمين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هذه الصحبة وهذا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الإنتماء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الذي يتخلى عنه البعض جهلا أو غفلة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وإنغماسا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في الشهوات أو إتباعا وتقليدا أعمى للغرب، 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أوخجلا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من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إنتماءه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لهذا الدين ،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هذه الصحبة وهذا </w:t>
      </w:r>
      <w:proofErr w:type="spellStart"/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الإنتماء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 عباد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الله هي أغلى الأمنيات يومذاك ، يتمنى المرء لو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إشتراها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بالدنيا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ومافيها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، ليحظى بصحبة أصحاب اليمين ،قال تعالى : " وأصحاب اليمين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ماأصحاب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اليمين  في سدر مخضود وطلح منضود وظل ممدود وماء مسكوب وفاكهة كثيرة لا مقطوعة ولا ممنوعة وفرش مرفوعة إنا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أنشانهنّ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إنشاءا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فجعلناهن أبكارا عرُبا أترابا لأصحاب اليمين ثلةٌ من الاولين وثلةٌ من الآخريِن "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معاشر المؤمنين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إن التيامنَ سنةٌ مؤكدة من سنن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الإسلام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واظب عليها رسولنا الكريم صلى الله عليه وسلم في كل شؤونه، وحثنا على فعلها، بل كان صلى الله عليه وسلم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يذّكرأصحابه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بها كلما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إقتضى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الموقف ذلك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عن عائشة رضي الله عنها قالت: "كان النبي صلى الله عليه وسلم يعجبه التيمن في تنعله وترجله وطهوره وفي شأنه كله". أخرجه البخاري في صحيحه 1/74 برقم: 166.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وعن عمر بن أبي سلمى قال: كنت غلاما في حجر رسول الله صلى الله عليه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وسلم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وكانت يدي تطيش في الصحفة فقال لي رسول الله صلى الله عليه وسلم: "يا غلام سم الله وكل بيمينك وكل مما يليك" فما زالت تلك طعمتي بعد. أخرجه البخاري في صحيحه 5/2056 برقم: 5061.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وعن أبي هريرة رضي الله عنه أن رسول الله صلى الله عليه وسلم قال: "إذا انتعل أحدكم فليبدأ باليمين وإذا نزع فليبدأ بالشمال لتكن اليمنى أولهما تُنعل وآخرهما تُنزع. أخرجه البخاري في صحيحه 5/2200 برقم: 5517.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قال النووي: «هذه قاعدةٌ مستمرةٌ في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الشرع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وهي أن ما كان من باب التكريم والتشريف كلبسِ الثوب والسراويل والخف، ودخولِ المسجد، والسواك،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والاكتحال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، وتقليم الأظفار، وقص الشارب، وترجيل الشعر، ونتف الإبط، وحلق الرأس، والسلام من الصلاة، وغسل أعضاء الطهارة، والخروج ِمن الخلاء، والأكل والشرب، والمصافحةِ، واستلام ِالحجر الأسود،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وغير ذلك ومما هو في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معناه ،،يستحب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التيامن فيه،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وأما ما كان بضده كدخول الخلاء، والخروج من المسجد،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والامتخاط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والاستنجاء، وخلع الثوب والسراويل والخف، وما أشبه ذلك فيستحب التياسر فيه وذلك كله لكرامة اليمين وشرفها. عون المعبود 1/35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lastRenderedPageBreak/>
        <w:t>وجاء في الحديث عن عكرمة بن عمار عن إياس بن سلمة بن الأكوع أن أباه حدثه: أن رجلا أكل عند رسول الله صلى الله عليه وسلم بشماله فقال: "كل بيمينك" قال لا أستطيع قال: "لا استطعت" ما منعه إلا الكبر قال فما رفعها إلى فيه. أخرجه مسلم في صحيحه 3/1599، برقم: 2021.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جعلنا الله وإياكم من أصحاب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اليمين ،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اللهم يمن كتابنا وبسر حسابنا واغفر ذنبنا إنك أنا الغفور الرحيم أقول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ماتسمعون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وأستغفر الله لي ولكم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معاشر المؤمنين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للتيامن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فوائد وثمرات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منها :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تحقيق الإيمان بالإتباع للنبي صلى الله عليه وسلم ، قال تعالى " قل إن كنتم الله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فإتبعوني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يحببكم الله ويغفر لكم ذنوبكم والله غفور رحيم "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 في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التيامن مخالفة لأهل الشرك، إذ أن شعارهم استعمال الشمال، وكذا مخالفة الشيطان عن ابن عمر: رضي الله عنهما أن رسول الله صلى الله عليه وسلم قال: "إذا أكل أحدكم فليأكل بيمينه وإذا شرب فليشرب بيمينه فإن الشيطان يأكل بشماله ويشرب بشماله". أخرجه مسلم في صحيحه 3/1598 برقم: 2020  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وفي التيامن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إستجلاب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للقوة والخير والبركة.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كما أن في التيامن </w:t>
      </w:r>
      <w:proofErr w:type="gram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إظهارٌ  لشعائر</w:t>
      </w:r>
      <w:proofErr w:type="gram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الإسلام ،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وإعتزازٌ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بالإنتماء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لهويتنا الاسلامية  ،  قال الله تعالى: ﴿ذَلِكَ وَمَن يُعَظِّمْ شَعَائِرَ اللَّهِ فَإِنَّهَا مِن تَقْوَى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الْقُلُوبِ﴾الحج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، ونحن اليوم عباد الله أحوج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مانكون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 لترسيخ معالم الهوية لدى شبابنا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وناشئتنا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بل ورجالنا ونساءنا ، ممن </w:t>
      </w:r>
      <w:proofErr w:type="spellStart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إنبهروا</w:t>
      </w:r>
      <w:proofErr w:type="spellEnd"/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بعادات الغرب وسلوكياته وأزياءه ، وتناسوا أنهم ينتمون لأعظم دين وأسمى رسالة وأعظم حضارة ، قال تعالى  "صِبْغَةَ اللَّهِ وَمَنْ أَحْسَنُ مِنْ اللَّهِ صِبْغَةً وَنَحْنُ لَهُ عَابِدُونَ "</w:t>
      </w: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3A284F" w:rsidRPr="003A284F" w:rsidRDefault="003A284F" w:rsidP="003A284F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C06568" w:rsidRPr="00A35E34" w:rsidRDefault="003A284F" w:rsidP="003A284F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3A284F">
        <w:rPr>
          <w:rFonts w:asciiTheme="majorHAnsi" w:hAnsiTheme="majorHAnsi" w:cs="Calibri Light"/>
          <w:sz w:val="32"/>
          <w:szCs w:val="32"/>
          <w:rtl/>
          <w:lang w:bidi="ar-KW"/>
        </w:rPr>
        <w:t>.</w:t>
      </w:r>
    </w:p>
    <w:sectPr w:rsidR="00C06568" w:rsidRPr="00A35E34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8"/>
    <w:rsid w:val="000555B4"/>
    <w:rsid w:val="002F009F"/>
    <w:rsid w:val="003A284F"/>
    <w:rsid w:val="00594603"/>
    <w:rsid w:val="006C6C53"/>
    <w:rsid w:val="00A35E34"/>
    <w:rsid w:val="00B2012C"/>
    <w:rsid w:val="00BA5433"/>
    <w:rsid w:val="00C06568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89BC-2F94-4363-85B1-57C3AB4B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5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2017-01-22T15:29:00Z</dcterms:created>
  <dcterms:modified xsi:type="dcterms:W3CDTF">2017-01-22T15:29:00Z</dcterms:modified>
</cp:coreProperties>
</file>