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0E" w:rsidRDefault="0001240E" w:rsidP="00606B11">
      <w:pPr>
        <w:jc w:val="center"/>
        <w:rPr>
          <w:rFonts w:cs="KacstTitle"/>
          <w:color w:val="000000" w:themeColor="text1"/>
          <w:sz w:val="110"/>
          <w:szCs w:val="110"/>
          <w:rtl/>
        </w:rPr>
      </w:pPr>
    </w:p>
    <w:p w:rsidR="00602D71" w:rsidRPr="00814B19" w:rsidRDefault="00606B11" w:rsidP="00606B11">
      <w:pPr>
        <w:jc w:val="center"/>
        <w:rPr>
          <w:rFonts w:cs="KacstTitle"/>
          <w:color w:val="000000" w:themeColor="text1"/>
          <w:sz w:val="110"/>
          <w:szCs w:val="110"/>
          <w:rtl/>
        </w:rPr>
      </w:pPr>
      <w:r w:rsidRPr="00814B19">
        <w:rPr>
          <w:rFonts w:cs="KacstTitle" w:hint="cs"/>
          <w:color w:val="000000" w:themeColor="text1"/>
          <w:sz w:val="110"/>
          <w:szCs w:val="110"/>
          <w:rtl/>
        </w:rPr>
        <w:t>التبشير بقواعد</w:t>
      </w:r>
    </w:p>
    <w:p w:rsidR="00606B11" w:rsidRPr="00814B19" w:rsidRDefault="00606B11" w:rsidP="00606B11">
      <w:pPr>
        <w:jc w:val="center"/>
        <w:rPr>
          <w:rFonts w:cs="KacstTitle"/>
          <w:color w:val="000000" w:themeColor="text1"/>
          <w:sz w:val="110"/>
          <w:szCs w:val="110"/>
          <w:rtl/>
        </w:rPr>
      </w:pPr>
      <w:r w:rsidRPr="00814B19">
        <w:rPr>
          <w:rFonts w:cs="KacstTitle" w:hint="cs"/>
          <w:color w:val="000000" w:themeColor="text1"/>
          <w:sz w:val="110"/>
          <w:szCs w:val="110"/>
          <w:rtl/>
        </w:rPr>
        <w:t>وأصول التفسير</w:t>
      </w:r>
    </w:p>
    <w:p w:rsidR="00606B11" w:rsidRPr="00814B19" w:rsidRDefault="00606B11" w:rsidP="00606B11">
      <w:pPr>
        <w:jc w:val="center"/>
        <w:rPr>
          <w:rFonts w:cs="KacstTitle"/>
          <w:color w:val="000000" w:themeColor="text1"/>
          <w:sz w:val="72"/>
          <w:szCs w:val="72"/>
          <w:rtl/>
        </w:rPr>
      </w:pPr>
    </w:p>
    <w:p w:rsidR="00606B11" w:rsidRPr="00814B19" w:rsidRDefault="00606B11" w:rsidP="00606B11">
      <w:pPr>
        <w:jc w:val="center"/>
        <w:rPr>
          <w:rFonts w:cs="KacstTitle"/>
          <w:color w:val="000000" w:themeColor="text1"/>
          <w:sz w:val="72"/>
          <w:szCs w:val="72"/>
          <w:rtl/>
        </w:rPr>
      </w:pPr>
    </w:p>
    <w:p w:rsidR="00606B11" w:rsidRPr="00814B19" w:rsidRDefault="00606B11" w:rsidP="00606B11">
      <w:pPr>
        <w:jc w:val="center"/>
        <w:rPr>
          <w:rFonts w:cs="KacstTitle"/>
          <w:color w:val="000000" w:themeColor="text1"/>
          <w:sz w:val="72"/>
          <w:szCs w:val="72"/>
          <w:rtl/>
        </w:rPr>
      </w:pPr>
    </w:p>
    <w:p w:rsidR="00606B11" w:rsidRPr="00814B19" w:rsidRDefault="00606B11" w:rsidP="00606B11">
      <w:pPr>
        <w:jc w:val="center"/>
        <w:rPr>
          <w:rFonts w:cs="ALAWI-3-9"/>
          <w:color w:val="000000" w:themeColor="text1"/>
          <w:sz w:val="56"/>
          <w:szCs w:val="56"/>
          <w:rtl/>
        </w:rPr>
      </w:pPr>
      <w:r w:rsidRPr="00814B19">
        <w:rPr>
          <w:rFonts w:cs="ALAWI-3-9" w:hint="cs"/>
          <w:color w:val="000000" w:themeColor="text1"/>
          <w:sz w:val="56"/>
          <w:szCs w:val="56"/>
          <w:rtl/>
        </w:rPr>
        <w:t xml:space="preserve">للعبد الفقير لله </w:t>
      </w:r>
    </w:p>
    <w:p w:rsidR="00606B11" w:rsidRPr="00814B19" w:rsidRDefault="00606B11" w:rsidP="00606B11">
      <w:pPr>
        <w:jc w:val="center"/>
        <w:rPr>
          <w:rFonts w:ascii="ae_Tholoth" w:hAnsi="ae_Tholoth" w:cs="ae_Tholoth"/>
          <w:color w:val="000000" w:themeColor="text1"/>
          <w:sz w:val="56"/>
          <w:szCs w:val="56"/>
          <w:rtl/>
        </w:rPr>
      </w:pPr>
      <w:r w:rsidRPr="00814B19">
        <w:rPr>
          <w:rFonts w:ascii="ae_Tholoth" w:hAnsi="ae_Tholoth" w:cs="ae_Tholoth"/>
          <w:color w:val="000000" w:themeColor="text1"/>
          <w:sz w:val="56"/>
          <w:szCs w:val="56"/>
          <w:rtl/>
        </w:rPr>
        <w:t>وليد بن راشد السعيدان</w:t>
      </w:r>
    </w:p>
    <w:p w:rsidR="007816A4" w:rsidRDefault="007816A4">
      <w:pPr>
        <w:bidi w:val="0"/>
        <w:rPr>
          <w:rFonts w:ascii="ae_Tholoth" w:hAnsi="ae_Tholoth" w:cs="DTP Naskh 1"/>
          <w:b/>
          <w:bCs/>
          <w:color w:val="000000" w:themeColor="text1"/>
          <w:sz w:val="32"/>
          <w:szCs w:val="32"/>
          <w:rtl/>
        </w:rPr>
      </w:pPr>
      <w:r>
        <w:rPr>
          <w:rFonts w:ascii="ae_Tholoth" w:hAnsi="ae_Tholoth" w:cs="DTP Naskh 1"/>
          <w:b/>
          <w:bCs/>
          <w:color w:val="000000" w:themeColor="text1"/>
          <w:sz w:val="32"/>
          <w:szCs w:val="32"/>
          <w:rtl/>
        </w:rPr>
        <w:br w:type="page"/>
      </w:r>
    </w:p>
    <w:p w:rsidR="008977B4" w:rsidRPr="0001240E" w:rsidRDefault="00606B11" w:rsidP="0001240E">
      <w:pPr>
        <w:jc w:val="center"/>
        <w:rPr>
          <w:rFonts w:ascii="ae_Tholoth" w:hAnsi="ae_Tholoth" w:cs="DTP Naskh 1"/>
          <w:b/>
          <w:bCs/>
          <w:color w:val="000000" w:themeColor="text1"/>
          <w:sz w:val="32"/>
          <w:szCs w:val="32"/>
          <w:rtl/>
        </w:rPr>
      </w:pPr>
      <w:r w:rsidRPr="0001240E">
        <w:rPr>
          <w:rFonts w:ascii="ae_Tholoth" w:hAnsi="ae_Tholoth" w:cs="DTP Naskh 1" w:hint="cs"/>
          <w:b/>
          <w:bCs/>
          <w:color w:val="000000" w:themeColor="text1"/>
          <w:sz w:val="32"/>
          <w:szCs w:val="32"/>
          <w:rtl/>
        </w:rPr>
        <w:lastRenderedPageBreak/>
        <w:t>بسم الله الرحمن الرحيم</w:t>
      </w:r>
    </w:p>
    <w:p w:rsidR="002E5DFD" w:rsidRPr="002E5DFD" w:rsidRDefault="002E5DFD" w:rsidP="0001240E">
      <w:p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الحمد لله ربي العالمين ، والصلاة والسلام على قائد الغر المحجلين ، وعلى آاله وصحبه أجمعين .</w:t>
      </w:r>
    </w:p>
    <w:p w:rsidR="002E5DFD" w:rsidRPr="002E5DFD" w:rsidRDefault="002E5DFD" w:rsidP="0001240E">
      <w:p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وبعد :</w:t>
      </w:r>
    </w:p>
    <w:p w:rsidR="002E5DFD" w:rsidRPr="002E5DFD" w:rsidRDefault="002E5DFD" w:rsidP="0001240E">
      <w:p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فعلم التفسير من أشرف العلوم على الإطلاق ، وينبغي على طالب العلم أن يهتم به ، ومن أعظم ما يعن الطالب على ذلك هو أن يأخذ هذا العلم على طريقة التقعيد والتأصيل .</w:t>
      </w:r>
    </w:p>
    <w:p w:rsidR="002E5DFD" w:rsidRDefault="002E5DFD" w:rsidP="0001240E">
      <w:p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وقواعد التفسير كثيرة جداً ، فخصصتُ منها هذه القواعد المهمة التي يقبح بطالب العلم أن يجهلها ، والتي ستعينه في مع</w:t>
      </w:r>
      <w:r w:rsidR="002A133F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رفة الحق من الباطل في هذا الفن ، وكيفية التعامل مع التفاسير .</w:t>
      </w:r>
    </w:p>
    <w:p w:rsidR="002A133F" w:rsidRPr="002A133F" w:rsidRDefault="002A133F" w:rsidP="0001240E">
      <w:pPr>
        <w:pStyle w:val="a3"/>
        <w:numPr>
          <w:ilvl w:val="0"/>
          <w:numId w:val="4"/>
        </w:numPr>
        <w:jc w:val="both"/>
        <w:rPr>
          <w:rFonts w:ascii="ae_Tholoth" w:hAnsi="ae_Tholoth" w:cs="Traditional Arabic"/>
          <w:color w:val="C00000"/>
          <w:sz w:val="36"/>
          <w:szCs w:val="36"/>
          <w:rtl/>
        </w:rPr>
      </w:pPr>
      <w:r w:rsidRPr="002A133F">
        <w:rPr>
          <w:rFonts w:ascii="ae_Tholoth" w:hAnsi="ae_Tholoth" w:cs="Traditional Arabic" w:hint="cs"/>
          <w:color w:val="C00000"/>
          <w:sz w:val="36"/>
          <w:szCs w:val="36"/>
          <w:rtl/>
        </w:rPr>
        <w:t>وهذه هي القواعد والأصول :-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b/>
          <w:bCs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="0001240E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توقف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صحة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العقائد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والشرائع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ففرض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عين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أصح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طرق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بكلامه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تبين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وتعبّر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الصحابي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حكم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الرفع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مجال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للرأي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يُعرف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بالأخذ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أهل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الكتاب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الصحابي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المتعلق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بسبب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النزول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حكم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الرفع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إجماع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المفسرين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حجة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يجوز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مخالفتها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الصحابي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بني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الا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جتهاد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يخالف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نصا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يخالفه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صحابي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آخر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حجة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bookmarkStart w:id="0" w:name="_GoBack"/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lastRenderedPageBreak/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اختلف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الصحابة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آية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رجحنا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أقرب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قوليهما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لموافقة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الدليل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bookmarkEnd w:id="0"/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التابعين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ليس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بحجة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اتفقوا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التابعي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مجال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للرأي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فيأخذ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حكم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الرفع</w:t>
      </w:r>
      <w:r w:rsidR="00814B19"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،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ولكن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هذا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الرفع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حكمه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حكم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المرسل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ضعيف</w:t>
      </w:r>
      <w:r w:rsidR="00814B19"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يخرج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بالدلالة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لغة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العرب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باطل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الأصل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بقاء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لفظ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ظاهره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يجوز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العدول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بدليل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الأصل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ألفاظ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حملها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حقيقتها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بقرينة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تصرفها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المجاز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أيده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سياق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الراجح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احتمل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اللفظ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معنيين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فأكثر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تنافي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بينهما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حُمل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الجميع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القراءات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المختلفة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الآية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يفسر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بعضها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بعضا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قُرأت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الآية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بقراءتين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يمكن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الجمع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بينهما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كالآيتين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تلازم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جواز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المعنى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اللغة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وحمل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الآية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السياق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يأبى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هذا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المعنى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اللغوي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الأصل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نصوص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العامة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تبقى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عمومها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تخصص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بدليل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العبرة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بعموم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اللفظ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بخصوص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السبب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خبر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تعالى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ذاتا</w:t>
      </w:r>
      <w:r w:rsid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ً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أسماء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صفات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فيجب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حمله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حقيقته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اللائقة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تبارك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وتعالى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يجوز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إخراج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بعض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الكلام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المنظوم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السياق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دلالة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السياق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بدليل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ينقله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الإسرائيليات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تروى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حرج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تكن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مخالفة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للثابت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المعهود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شريعتنا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الأوامر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الوجوب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ورد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الصارف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نهي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محمول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التحريم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بصارف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لفظ</w:t>
      </w:r>
      <w:r w:rsid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[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كُتب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-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]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الوجوب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lastRenderedPageBreak/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مطلق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يبقى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إطلاقه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يقيد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بدليل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نسخ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لفظه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وحكمه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ومنه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نسخ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لفظه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وبقي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حكمه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ومنه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العكس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يأتيه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الباطل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يديه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خلفه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الأسماء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الحسنى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خواتم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الآيات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تُجرى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مُجرى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التعليل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ذكر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الأحكام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الآية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يتفاضل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باعتبار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معانيه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باعتبار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المتكلم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معرفة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أسباب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النزول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لازمة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لفهم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معاني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دعوى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النسخ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كتاب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بالاحتمال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تقبل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النسخ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المفسرين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الصحابة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والتابعين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أوسع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معنى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النسخ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المتأخرين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تحمل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معاني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أسلوبه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معهود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استعماله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التأسيس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التأكيد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خالف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الإجماع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مردود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بالرأي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المنبثق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أصوله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الصحيحة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مقبول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وأما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الرأي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الذي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يبنى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برهان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وعلم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مردود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ألفاظ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تحمل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المشهور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لغة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العرب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شواذ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اللغة</w:t>
      </w:r>
      <w:r w:rsid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يجوز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متابعة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قال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شاذ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أنكر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جماهير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المفسرين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رجحته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الصحيحة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أقوال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المفسرين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الراجح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النبي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صلى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وسلم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مجملات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بقوله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وبفعله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وبهما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جميعا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يجوز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معنى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الآية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بعض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التفاصيل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الغيبية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دليل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عليها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أوامر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أمر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وبكل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يتوقف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وجودها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ونواهي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نهي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وعن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يتوقف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وجودها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عليه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lastRenderedPageBreak/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يحمل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اصطلاح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حادث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الأصل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الا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ستثناء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إذا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تعقب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جملاً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عوده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لجميعها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بقرينة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تعود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بعضها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دون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بعض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الموافق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لتاريخ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النزول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مقدم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غيره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الأصل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الضمائر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رجوعها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لأقرب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مذكور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بقرينة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فيعمل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دلت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عليه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القرينة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الأصل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اتحاد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مرجع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الضمير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بقرينة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فاصلة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يخالف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السلف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باطل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بأس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جديد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صحيحا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ذاته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ولم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يتضمن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إبطال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السلف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واحتمله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النص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وكان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قبيل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خلاف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التنوع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. 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يطعن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النبوات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فهو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باطل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تعطيل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الآية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مدلولها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الصحيح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واقحام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معنى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باطل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تحريف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وإلحاد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الحقيقة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الشرعية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نصوص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مقدمة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الحقائق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اللغوية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الأصل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تمام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الكلام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وعدم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التقديم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والإضمار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الأصل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حمل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الآية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الترتيب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قامت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القرينة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الصالحة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فيها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تقديما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أو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تأخيرا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يجوز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دعوى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القلب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بدليل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وقرينة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ظاهرة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بالتضمين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مقدم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القول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بقيام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الحروف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مقام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بعض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الألف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واللام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الداخلة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المفرد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الجمع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تكسبه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العموم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المفرد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والجمع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المضاف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يفيد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العموم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النكرة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سياق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العموم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النكرة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سياق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النهي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العموم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lastRenderedPageBreak/>
        <w:t>النكرة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سياق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الشرط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العموم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الأسماء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الموصولة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العموم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أسماء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الشرط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تفيد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العموم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متشابه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يُرد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المحكم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ليس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يخفى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معناه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الجميع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استأثر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بعلمه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مفهوم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المخالفة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حجة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القرآن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دعوة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إلى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التوحيد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ومكملاته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وجوبا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وندبا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8977B4" w:rsidRPr="002E5DFD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ليس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كتاب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حرف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زائد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بمعنى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أن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وجوده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كعدمه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606B11" w:rsidRDefault="008977B4" w:rsidP="0001240E">
      <w:pPr>
        <w:pStyle w:val="a3"/>
        <w:numPr>
          <w:ilvl w:val="0"/>
          <w:numId w:val="3"/>
        </w:numPr>
        <w:jc w:val="both"/>
        <w:rPr>
          <w:rFonts w:ascii="ae_Tholoth" w:hAnsi="ae_Tholoth" w:cs="Traditional Arabic"/>
          <w:color w:val="000000" w:themeColor="text1"/>
          <w:sz w:val="36"/>
          <w:szCs w:val="36"/>
        </w:rPr>
      </w:pP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كل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خلاف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التفسير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ثمرة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له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فلا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ينبغي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الوقوف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>عنده</w:t>
      </w:r>
      <w:r w:rsidR="00814B19" w:rsidRPr="002E5DFD">
        <w:rPr>
          <w:rFonts w:ascii="ae_Tholoth" w:hAnsi="ae_Tholoth" w:cs="Traditional Arabic" w:hint="cs"/>
          <w:color w:val="000000" w:themeColor="text1"/>
          <w:sz w:val="36"/>
          <w:szCs w:val="36"/>
          <w:rtl/>
        </w:rPr>
        <w:t xml:space="preserve"> </w:t>
      </w:r>
      <w:r w:rsidRPr="002E5DFD">
        <w:rPr>
          <w:rFonts w:ascii="ae_Tholoth" w:hAnsi="ae_Tholoth" w:cs="Traditional Arabic"/>
          <w:color w:val="000000" w:themeColor="text1"/>
          <w:sz w:val="36"/>
          <w:szCs w:val="36"/>
          <w:rtl/>
        </w:rPr>
        <w:t>.</w:t>
      </w:r>
    </w:p>
    <w:p w:rsidR="0001240E" w:rsidRDefault="0001240E" w:rsidP="0001240E">
      <w:pPr>
        <w:pStyle w:val="a3"/>
        <w:ind w:left="360"/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</w:p>
    <w:p w:rsidR="0001240E" w:rsidRDefault="0001240E" w:rsidP="0001240E">
      <w:pPr>
        <w:pStyle w:val="a3"/>
        <w:ind w:left="360"/>
        <w:jc w:val="both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</w:p>
    <w:p w:rsidR="0001240E" w:rsidRPr="002E5DFD" w:rsidRDefault="0001240E" w:rsidP="0001240E">
      <w:pPr>
        <w:pStyle w:val="a3"/>
        <w:ind w:left="360"/>
        <w:jc w:val="center"/>
        <w:rPr>
          <w:rFonts w:ascii="ae_Tholoth" w:hAnsi="ae_Tholoth" w:cs="Traditional Arabic"/>
          <w:color w:val="000000" w:themeColor="text1"/>
          <w:sz w:val="36"/>
          <w:szCs w:val="36"/>
          <w:rtl/>
        </w:rPr>
      </w:pPr>
      <w:r>
        <w:rPr>
          <w:rFonts w:ascii="ae_Tholoth" w:hAnsi="ae_Tholoth" w:cs="Traditional Arabic" w:hint="cs"/>
          <w:color w:val="000000" w:themeColor="text1"/>
          <w:sz w:val="36"/>
          <w:szCs w:val="36"/>
        </w:rPr>
        <w:sym w:font="AGA Arabesque" w:char="F02A"/>
      </w:r>
      <w:r>
        <w:rPr>
          <w:rFonts w:ascii="ae_Tholoth" w:hAnsi="ae_Tholoth" w:cs="Traditional Arabic" w:hint="cs"/>
          <w:color w:val="000000" w:themeColor="text1"/>
          <w:sz w:val="36"/>
          <w:szCs w:val="36"/>
        </w:rPr>
        <w:sym w:font="AGA Arabesque" w:char="F02A"/>
      </w:r>
      <w:r>
        <w:rPr>
          <w:rFonts w:ascii="ae_Tholoth" w:hAnsi="ae_Tholoth" w:cs="Traditional Arabic" w:hint="cs"/>
          <w:color w:val="000000" w:themeColor="text1"/>
          <w:sz w:val="36"/>
          <w:szCs w:val="36"/>
        </w:rPr>
        <w:sym w:font="AGA Arabesque" w:char="F02A"/>
      </w:r>
      <w:r>
        <w:rPr>
          <w:rFonts w:ascii="ae_Tholoth" w:hAnsi="ae_Tholoth" w:cs="Traditional Arabic" w:hint="cs"/>
          <w:color w:val="000000" w:themeColor="text1"/>
          <w:sz w:val="36"/>
          <w:szCs w:val="36"/>
        </w:rPr>
        <w:sym w:font="AGA Arabesque" w:char="F02A"/>
      </w:r>
    </w:p>
    <w:sectPr w:rsidR="0001240E" w:rsidRPr="002E5DFD" w:rsidSect="00384EF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69" w:rsidRDefault="00010269" w:rsidP="002A133F">
      <w:pPr>
        <w:spacing w:after="0" w:line="240" w:lineRule="auto"/>
      </w:pPr>
      <w:r>
        <w:separator/>
      </w:r>
    </w:p>
  </w:endnote>
  <w:endnote w:type="continuationSeparator" w:id="0">
    <w:p w:rsidR="00010269" w:rsidRDefault="00010269" w:rsidP="002A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cstTitle">
    <w:charset w:val="B2"/>
    <w:family w:val="auto"/>
    <w:pitch w:val="variable"/>
    <w:sig w:usb0="00002001" w:usb1="00000000" w:usb2="00000000" w:usb3="00000000" w:csb0="00000040" w:csb1="00000000"/>
  </w:font>
  <w:font w:name="ALAWI-3-9">
    <w:charset w:val="B2"/>
    <w:family w:val="auto"/>
    <w:pitch w:val="variable"/>
    <w:sig w:usb0="00002001" w:usb1="00000000" w:usb2="00000000" w:usb3="00000000" w:csb0="00000040" w:csb1="00000000"/>
  </w:font>
  <w:font w:name="DTP Naskh 1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S  Zomorro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69" w:rsidRDefault="00010269" w:rsidP="002A133F">
      <w:pPr>
        <w:spacing w:after="0" w:line="240" w:lineRule="auto"/>
      </w:pPr>
      <w:r>
        <w:separator/>
      </w:r>
    </w:p>
  </w:footnote>
  <w:footnote w:type="continuationSeparator" w:id="0">
    <w:p w:rsidR="00010269" w:rsidRDefault="00010269" w:rsidP="002A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right"/>
      <w:tblLook w:val="04A0" w:firstRow="1" w:lastRow="0" w:firstColumn="1" w:lastColumn="0" w:noHBand="0" w:noVBand="1"/>
    </w:tblPr>
    <w:tblGrid>
      <w:gridCol w:w="4334"/>
      <w:gridCol w:w="792"/>
    </w:tblGrid>
    <w:tr w:rsidR="002A133F">
      <w:trPr>
        <w:trHeight w:hRule="exact" w:val="792"/>
        <w:jc w:val="right"/>
      </w:trPr>
      <w:sdt>
        <w:sdtPr>
          <w:rPr>
            <w:rFonts w:asciiTheme="majorHAnsi" w:eastAsiaTheme="majorEastAsia" w:hAnsiTheme="majorHAnsi" w:cs="ACS  Zomorrod Bold"/>
            <w:color w:val="FF0000"/>
            <w:sz w:val="28"/>
            <w:szCs w:val="28"/>
            <w:rtl/>
          </w:rPr>
          <w:alias w:val="العنوان"/>
          <w:id w:val="23771477"/>
          <w:placeholder>
            <w:docPart w:val="970E16A22E4F482E87A618AAF4D341A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2A133F" w:rsidRPr="0001240E" w:rsidRDefault="002A133F" w:rsidP="002A133F">
              <w:pPr>
                <w:pStyle w:val="a4"/>
                <w:jc w:val="right"/>
                <w:rPr>
                  <w:rFonts w:asciiTheme="majorHAnsi" w:eastAsiaTheme="majorEastAsia" w:hAnsiTheme="majorHAnsi" w:cs="ACS  Zomorrod Bold"/>
                  <w:color w:val="FF0000"/>
                  <w:sz w:val="28"/>
                  <w:szCs w:val="28"/>
                </w:rPr>
              </w:pPr>
              <w:r w:rsidRPr="0001240E">
                <w:rPr>
                  <w:rFonts w:asciiTheme="majorHAnsi" w:eastAsiaTheme="majorEastAsia" w:hAnsiTheme="majorHAnsi" w:cs="ACS  Zomorrod Bold" w:hint="cs"/>
                  <w:color w:val="FF0000"/>
                  <w:sz w:val="28"/>
                  <w:szCs w:val="28"/>
                  <w:rtl/>
                </w:rPr>
                <w:t>التبشير بقواعد وأصول التفسير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2A133F" w:rsidRPr="0001240E" w:rsidRDefault="002A133F">
          <w:pPr>
            <w:pStyle w:val="a4"/>
            <w:jc w:val="center"/>
            <w:rPr>
              <w:rFonts w:ascii="ae_Cortoba" w:hAnsi="ae_Cortoba" w:cs="ae_Cortoba"/>
              <w:color w:val="FFFFFF" w:themeColor="background1"/>
            </w:rPr>
          </w:pPr>
          <w:r w:rsidRPr="0001240E">
            <w:rPr>
              <w:rFonts w:ascii="ae_Cortoba" w:hAnsi="ae_Cortoba" w:cs="ae_Cortoba"/>
              <w:sz w:val="36"/>
              <w:szCs w:val="36"/>
            </w:rPr>
            <w:fldChar w:fldCharType="begin"/>
          </w:r>
          <w:r w:rsidRPr="0001240E">
            <w:rPr>
              <w:rFonts w:ascii="ae_Cortoba" w:hAnsi="ae_Cortoba" w:cs="ae_Cortoba"/>
              <w:sz w:val="36"/>
              <w:szCs w:val="36"/>
            </w:rPr>
            <w:instrText>PAGE  \* MERGEFORMAT</w:instrText>
          </w:r>
          <w:r w:rsidRPr="0001240E">
            <w:rPr>
              <w:rFonts w:ascii="ae_Cortoba" w:hAnsi="ae_Cortoba" w:cs="ae_Cortoba"/>
              <w:sz w:val="36"/>
              <w:szCs w:val="36"/>
            </w:rPr>
            <w:fldChar w:fldCharType="separate"/>
          </w:r>
          <w:r w:rsidR="007816A4" w:rsidRPr="007816A4">
            <w:rPr>
              <w:rFonts w:ascii="ae_Cortoba" w:hAnsi="ae_Cortoba" w:cs="ae_Cortoba"/>
              <w:noProof/>
              <w:color w:val="FFFFFF" w:themeColor="background1"/>
              <w:sz w:val="36"/>
              <w:szCs w:val="36"/>
              <w:rtl/>
              <w:lang w:val="ar-SA"/>
            </w:rPr>
            <w:t>6</w:t>
          </w:r>
          <w:r w:rsidRPr="0001240E">
            <w:rPr>
              <w:rFonts w:ascii="ae_Cortoba" w:hAnsi="ae_Cortoba" w:cs="ae_Cortoba"/>
              <w:color w:val="FFFFFF" w:themeColor="background1"/>
              <w:sz w:val="36"/>
              <w:szCs w:val="36"/>
            </w:rPr>
            <w:fldChar w:fldCharType="end"/>
          </w:r>
        </w:p>
      </w:tc>
    </w:tr>
  </w:tbl>
  <w:p w:rsidR="002A133F" w:rsidRPr="002A133F" w:rsidRDefault="002A133F" w:rsidP="002A133F">
    <w:pPr>
      <w:pStyle w:val="a4"/>
      <w:rPr>
        <w:color w:val="002060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4AB6"/>
    <w:multiLevelType w:val="hybridMultilevel"/>
    <w:tmpl w:val="96ACC772"/>
    <w:lvl w:ilvl="0" w:tplc="9294B65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F5E00"/>
    <w:multiLevelType w:val="hybridMultilevel"/>
    <w:tmpl w:val="E57084B4"/>
    <w:lvl w:ilvl="0" w:tplc="4CAE42C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F60959"/>
    <w:multiLevelType w:val="hybridMultilevel"/>
    <w:tmpl w:val="7DAA732A"/>
    <w:lvl w:ilvl="0" w:tplc="9290191A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D6A8D"/>
    <w:multiLevelType w:val="hybridMultilevel"/>
    <w:tmpl w:val="AD705682"/>
    <w:lvl w:ilvl="0" w:tplc="5072BE04">
      <w:start w:val="1"/>
      <w:numFmt w:val="decimal"/>
      <w:lvlText w:val="%1)"/>
      <w:lvlJc w:val="left"/>
      <w:pPr>
        <w:ind w:left="360" w:hanging="360"/>
      </w:pPr>
      <w:rPr>
        <w:rFonts w:ascii="ae_Tholoth" w:eastAsiaTheme="minorHAnsi" w:hAnsi="ae_Tholoth" w:cs="Traditional Arabic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11"/>
    <w:rsid w:val="00010269"/>
    <w:rsid w:val="0001240E"/>
    <w:rsid w:val="002A133F"/>
    <w:rsid w:val="002E5DFD"/>
    <w:rsid w:val="003059C0"/>
    <w:rsid w:val="00384EF1"/>
    <w:rsid w:val="00602D71"/>
    <w:rsid w:val="00606B11"/>
    <w:rsid w:val="007816A4"/>
    <w:rsid w:val="00814B19"/>
    <w:rsid w:val="008977B4"/>
    <w:rsid w:val="00A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095241-D65A-4A0A-8F10-E863D75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A1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A133F"/>
  </w:style>
  <w:style w:type="paragraph" w:styleId="a5">
    <w:name w:val="footer"/>
    <w:basedOn w:val="a"/>
    <w:link w:val="Char0"/>
    <w:uiPriority w:val="99"/>
    <w:unhideWhenUsed/>
    <w:rsid w:val="002A1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A133F"/>
  </w:style>
  <w:style w:type="paragraph" w:styleId="a6">
    <w:name w:val="Balloon Text"/>
    <w:basedOn w:val="a"/>
    <w:link w:val="Char1"/>
    <w:uiPriority w:val="99"/>
    <w:semiHidden/>
    <w:unhideWhenUsed/>
    <w:rsid w:val="002A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A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0E16A22E4F482E87A618AAF4D341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D8C173-E791-41B0-A871-5142D507FD77}"/>
      </w:docPartPr>
      <w:docPartBody>
        <w:p w:rsidR="006420D5" w:rsidRDefault="001A23FC" w:rsidP="001A23FC">
          <w:pPr>
            <w:pStyle w:val="970E16A22E4F482E87A618AAF4D341A4"/>
          </w:pPr>
          <w:r>
            <w:rPr>
              <w:rFonts w:asciiTheme="majorHAnsi" w:eastAsiaTheme="majorEastAsia" w:hAnsiTheme="majorHAnsi" w:cstheme="majorBidi"/>
              <w:sz w:val="28"/>
              <w:szCs w:val="28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cstTitle">
    <w:charset w:val="B2"/>
    <w:family w:val="auto"/>
    <w:pitch w:val="variable"/>
    <w:sig w:usb0="00002001" w:usb1="00000000" w:usb2="00000000" w:usb3="00000000" w:csb0="00000040" w:csb1="00000000"/>
  </w:font>
  <w:font w:name="ALAWI-3-9">
    <w:charset w:val="B2"/>
    <w:family w:val="auto"/>
    <w:pitch w:val="variable"/>
    <w:sig w:usb0="00002001" w:usb1="00000000" w:usb2="00000000" w:usb3="00000000" w:csb0="00000040" w:csb1="00000000"/>
  </w:font>
  <w:font w:name="DTP Naskh 1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S  Zomorro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FC"/>
    <w:rsid w:val="001A23FC"/>
    <w:rsid w:val="006420D5"/>
    <w:rsid w:val="00D43999"/>
    <w:rsid w:val="00E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0E16A22E4F482E87A618AAF4D341A4">
    <w:name w:val="970E16A22E4F482E87A618AAF4D341A4"/>
    <w:rsid w:val="001A23F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التبشير بقواعد وأصول التفسير</dc:title>
  <dc:creator>DELL</dc:creator>
  <cp:lastModifiedBy>abuhamza alenizi</cp:lastModifiedBy>
  <cp:revision>4</cp:revision>
  <cp:lastPrinted>2015-07-18T10:16:00Z</cp:lastPrinted>
  <dcterms:created xsi:type="dcterms:W3CDTF">2015-07-18T09:01:00Z</dcterms:created>
  <dcterms:modified xsi:type="dcterms:W3CDTF">2015-07-20T09:37:00Z</dcterms:modified>
</cp:coreProperties>
</file>