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3" w:rsidRPr="0073220A" w:rsidRDefault="00940C03" w:rsidP="00071767">
      <w:pPr>
        <w:jc w:val="center"/>
        <w:rPr>
          <w:rFonts w:ascii="Arabic Typesetting" w:hAnsi="Arabic Typesetting" w:cs="Arabic Typesetting"/>
          <w:b/>
          <w:bCs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b/>
          <w:bCs/>
          <w:color w:val="000000" w:themeColor="text1"/>
          <w:sz w:val="58"/>
          <w:szCs w:val="58"/>
          <w:rtl/>
        </w:rPr>
        <w:t xml:space="preserve">القول الصحيح </w:t>
      </w:r>
      <w:r w:rsidR="00071767">
        <w:rPr>
          <w:rFonts w:ascii="Arabic Typesetting" w:hAnsi="Arabic Typesetting" w:cs="Arabic Typesetting" w:hint="cs"/>
          <w:b/>
          <w:bCs/>
          <w:color w:val="000000" w:themeColor="text1"/>
          <w:sz w:val="58"/>
          <w:szCs w:val="58"/>
          <w:rtl/>
        </w:rPr>
        <w:t>حول</w:t>
      </w:r>
      <w:r w:rsidRPr="0073220A">
        <w:rPr>
          <w:rFonts w:ascii="Arabic Typesetting" w:hAnsi="Arabic Typesetting" w:cs="Arabic Typesetting"/>
          <w:b/>
          <w:bCs/>
          <w:color w:val="000000" w:themeColor="text1"/>
          <w:sz w:val="58"/>
          <w:szCs w:val="58"/>
          <w:rtl/>
        </w:rPr>
        <w:t xml:space="preserve"> عدد ركعات صلاة التراويح</w:t>
      </w:r>
    </w:p>
    <w:p w:rsidR="00E215C2" w:rsidRPr="0073220A" w:rsidRDefault="00E215C2" w:rsidP="00E215C2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الحمد لله أمر بالتآلُف ونهى عن الاختلاف 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أحمده حمد الأئمة الأعلام ، وأشهد أن لا إله إلا الله وحده لا شريك له القدوسُ السلام ، وأشهد أن نبيَّنا محمدًا عبدُ الله ورسوله خاتمُ النبيين وسيدُ الأنام 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اللهم صلِّ وسلِّم عليه وعلى آله وصحبه ما تعاقَبَت الليالي والأيام  </w:t>
      </w:r>
      <w:r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  </w:t>
      </w:r>
      <w:r w:rsidR="0073220A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</w:t>
      </w:r>
      <w:r w:rsidR="00F93343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                                         </w:t>
      </w:r>
      <w:r w:rsidR="0073220A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  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أما بعد</w:t>
      </w:r>
    </w:p>
    <w:p w:rsidR="00BA0A5A" w:rsidRPr="0073220A" w:rsidRDefault="00BA0A5A" w:rsidP="00786BE8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عباد الله : نحمد الله أن بلغنا رمضان وندعوه عز وجل أن يعيننا على صيامه وقيامه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وأن يكون شهر عز ونصر للأمة الإسلامية ، وأعلموا حفظكم الله أن صلاة التراويح سُنة سنَّها رسول الله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، ففي الصحيحين عن عائشة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4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أن النبي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صلى في المسجد ذات ليلة وصلى بصلاته ناس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، ثم صلى من القابلة وكثر الناس، ثم اجتمعوا من الليلة الثالثة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، أو الرابعة فلم يخرج إليهم رسول الله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، فلما أصبح قال : قد رأيت الذي صنعتم فلم يمنعني من الخروج إليكم إلا أني خشيت أن تفرض عليكم ، وذلك في رمضان 0</w:t>
      </w:r>
    </w:p>
    <w:p w:rsidR="00BA0A5A" w:rsidRPr="0073220A" w:rsidRDefault="00BA0A5A" w:rsidP="00E215C2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عباد الله : نرى ونلاحظ إن فئة من الناس تتعامل مع المسائل الاجتهادية بين أهل العلم بحساسية مفرطة فيجعلوا منها سبباً لحصول ال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فرقة والفتن والخلاف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فيما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بين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هم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0</w:t>
      </w:r>
    </w:p>
    <w:p w:rsidR="00BA0A5A" w:rsidRPr="0073220A" w:rsidRDefault="00BA0A5A" w:rsidP="00786BE8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عباد الله : صلاة التراويح ليس لها عد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د محدد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يُ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لزم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به ا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لناس ، بل الأمر فيها واسع واسمعوا يا رعاكم الله لقول علامة المملكة والعالم الاسلامي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الشيخ ابن عثيمين رحم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ه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الله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حيث قال : ويؤسفنا كثيراً أن نجد في الأمة الإسلامية المتفتحة فئة تختلف في أمور يسوغ فيها الخلاف ، فتجعل الخلاف فيها سبباً لاختلاف القلوب ، فالخلاف في الأمة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lastRenderedPageBreak/>
        <w:t>موجود في عهد الصحابة ، ومع ذلك بقيت قلوبهم متفقة ، فالواجب على الشباب خاصة ، وعلى كل الملتزمين أن يكونوا يداً واحدةً ومظهراً واحداً ؛ لأن لهم أعداءً يتربصون بهم الدوائر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وهنا نقول : لا ينبغي لنا أن نغلو أو نفرط ، فبعض الناس يغلو من حيث التزام السنة في العدد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، فيقول : لا تجوز الزيادة على العدد الذي جاءت به السنَّة ، وينكر أشدَّ النكير على من زاد على ذلك ، ويقول : إنه آثم عاصٍ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وهذا لا شك أنه خطأ ، وكيف يكون آثماً عاصياً وقد سئل النبي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عن صلاة الليل فقال : مثنى مثنى ، ولم يحدد بعدد ، ومن المعلوم أن الذي سأله عن صلاة الليل لا يعلم العدد ؛ لأن من لا يعلم الكيفية فجهله بالعدد من باب أولى ، وهو ليس ممن خدم الرسول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حتى نقول إنه يعلم ما يحدث داخل بيته ، فإذا كان النبي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بيَّن له كيفية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الصلاة دون أن يحدد له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عدد : عُلم أن الأمر في هذا واسع ، وأن للإنسان أن يصلِّيَ مائة ركعة ويوتر بواحدة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وأما قوله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(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صلوا كما رأيتموني أصلي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)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فهذا ليس على عمومه حتى عند هؤلاء ، ولهذا لا يوجبون على الإنسان أن يوتر مرة بخمس ، ومرة بسبع ، ومرة بتسع ، ولو أخذنا بالعموم لقلنا يجب أن توتر مرة بخمس ، ومرة بسبع ، ومرة بتسع سرداً ، وإنما المراد : صلوا كما رأيتموني أصلي في الكيفية ، أما في العدد فلا إلا ما ثبت النص بتحديده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وعلى كلٍّ ينبغي للإنسان أن لا يشدد على الناس في أمر واسع ، حتى إنا رأينا من الإخوة الذين يشددون في هذا مَن يبدِّعون الأئمة الذين يزيدون على إحدى عشرة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ركعة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، ويخرجون من المسجد فيفوتهم الأجر الذي قال فيه الرسول 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(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من قام مع الإمام حتى ينصرف كُتب له قيام ليلة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)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صححه الألباني ، وقد يجلسون إذا صلوا عشر ركعات فتنقطع الصفوف بجلوسهم ، وربما يتحدثون أحياناً فيشوشون على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lastRenderedPageBreak/>
        <w:t xml:space="preserve">المصلين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،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ونحن لا نشك بأنهم يريدون الخير ، وأنهم مجتهدون ، لكن ليس كل مجتهدٍ يكون مصيباً </w:t>
      </w:r>
      <w:r w:rsidR="00505E96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0</w:t>
      </w:r>
    </w:p>
    <w:p w:rsidR="00BA0A5A" w:rsidRPr="0073220A" w:rsidRDefault="00505E96" w:rsidP="00786BE8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و</w:t>
      </w:r>
      <w:r w:rsidR="00BA0A5A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الطرف الثاني : عكس هؤلاء ، أنكروا على من اقتصر على إحدى عشرة ركعة إنكاراً عظيماً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</w:t>
      </w:r>
      <w:r w:rsidR="00BA0A5A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، وقالوا : خرجتَ عن الإجماع قال تعالى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(</w:t>
      </w:r>
      <w:r w:rsidR="00BA0A5A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ومن يشاقق الرسول من بعد ما تبين له الهدى ويتبع غير سبيل المؤمنين نوله ما تولى ونصله جهنم وساءت مصيراً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)</w:t>
      </w:r>
      <w:r w:rsidR="00BA0A5A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، فكل من قبلك لا يعرفون إلا ثلاثاً وعشرين ركعة ، ثم يشدِّدون في النكير ، وهذا أيضاً خطأ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0</w:t>
      </w:r>
    </w:p>
    <w:p w:rsidR="00786BE8" w:rsidRDefault="00505E96" w:rsidP="00F93343">
      <w:pPr>
        <w:jc w:val="center"/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قلنا ما قد سمعتم والحمد لله رب العالمين</w:t>
      </w:r>
    </w:p>
    <w:p w:rsidR="00F93343" w:rsidRPr="0073220A" w:rsidRDefault="00F93343" w:rsidP="00F93343">
      <w:pPr>
        <w:jc w:val="center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،،،،،،،،،،،،،،،،،،،،،،،،،،،،،،،،،،،،،،،،،،،،،،،،،،،،،،،</w:t>
      </w:r>
    </w:p>
    <w:p w:rsidR="00E215C2" w:rsidRPr="0073220A" w:rsidRDefault="00E215C2" w:rsidP="00F93343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الحمد لله</w:t>
      </w:r>
      <w:r w:rsidR="00CA1B43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والصلاة والسلام على رسول الله     </w:t>
      </w:r>
      <w:r w:rsidR="00F93343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                        </w:t>
      </w:r>
      <w:r w:rsidR="00CA1B43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   </w:t>
      </w:r>
      <w:r w:rsidR="007D2719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="00CA1B43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و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بعد </w:t>
      </w:r>
    </w:p>
    <w:p w:rsidR="00197375" w:rsidRPr="0073220A" w:rsidRDefault="00786BE8" w:rsidP="00786BE8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عباد الله : الحاصل</w:t>
      </w:r>
      <w:r w:rsidR="00197375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أن من صلى إحدى عشرة ركعة على الصفة الواردة عن الني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</w:rPr>
        <w:sym w:font="AGA Arabesque" w:char="F072"/>
      </w:r>
      <w:r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="00197375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فقد أحسن وأصاب السنة ، ومن خفف القراءة وزاد عدد الركعات فقد أحسن وأصاب بإذن الله ، ولا إنكار على من فعل أحد الأمرين لأن مذاهب الأئمة الأربعة لا يرون بأساً بأن يزاد في عدد في صلاة التراويح على إحدى عشرة ركعة</w:t>
      </w:r>
      <w:r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0</w:t>
      </w:r>
    </w:p>
    <w:p w:rsidR="003E4905" w:rsidRPr="0073220A" w:rsidRDefault="00197375" w:rsidP="00E215C2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عباد الله : قال الشيخ ابن عثيمين رحمه الله : اعلم أن الخلاف في عدد ركعات التراويح ونحوها مما يسوغ فيه الاجتهاد لا ينبغي أن يكون مثاراً للخلاف والشقاق بين الأمة ، خصوصاً وأن السلف اختلفوا في ذلك ، وليس في المسألة دليل يمنع جريان الاجتهاد فيها ، وما أحسن ما قال أحد أهل العلم لشخص خالفه في الاجتهاد في أمر سائغ :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lastRenderedPageBreak/>
        <w:t>إنك بمخالفتك إياي قد وافقتني ف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َ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ك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ِ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لانا يرى وجوب اتباع ما يرى أنه الحق حيث يسوغ الاجتهاد 0</w:t>
      </w:r>
    </w:p>
    <w:p w:rsidR="00197375" w:rsidRDefault="00485DE3" w:rsidP="00B47658">
      <w:pPr>
        <w:jc w:val="both"/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</w:pP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عباد الله : ادعوا الله وأنتم موقنون بالإجابة : 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رب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نا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لقد جعلت شهر رمضان شهر نصرٍ وعزٍ للإسلام والمسلمين فقد نصرتهم في معركة بدر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في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السنة الثانية للهجرة ، وفتح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ت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مكة في السنة الثامنة للهجرة ، ومعركة القادسية في </w:t>
      </w:r>
      <w:r w:rsidR="00B47658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السنة الخامسة عشر للهجرة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، وفتح</w:t>
      </w:r>
      <w:r w:rsidR="00B47658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ت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بلاد الأندلس في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السنة الثانية والتسعون للهجرة 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وغيرها ،  اللهم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ف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اجعل رمضان عامنا هذا مثلها شهر عز ونصر وتمكين على اعداء الاسلام والمسلمين ، اللهم وفق ولي أمرنا خادم الحرمين الملك سلمان وولي عهده وولي ولي عهده لما تحب وترضى وخذ بأيديهم ل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ِ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ن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ُ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ص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ْ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ر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َ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ة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ِ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الدين والوطن والمواطن ، 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وا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نصر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 xml:space="preserve"> بهم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إخوا</w:t>
      </w:r>
      <w:r w:rsidR="00786BE8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ننا أهل السنة في الشام وال</w:t>
      </w:r>
      <w:r w:rsidR="00786BE8" w:rsidRPr="0073220A"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  <w:t>عراق</w:t>
      </w:r>
      <w:r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 xml:space="preserve"> واليمن الحزين ، اللهم انصر إخواننا المستضعفين من أهل السنة في كل زمان ومكان يا رب العالمين ، اللهم تقبل منا رمضان وأعنا على صيامه وقيامه يا معين ، اللهم اغفر لأمهاتنا وآبائنا ولجميع المسلمين الأحياء منهم والميتين ، اللهم أهد ووفق شبابنا شباب المسلمين وقوموا الى الصلاة يرحمني ويرحمكم ا</w:t>
      </w:r>
      <w:r w:rsidR="0073220A" w:rsidRPr="0073220A"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  <w:t>لله</w:t>
      </w:r>
    </w:p>
    <w:p w:rsidR="00F93343" w:rsidRDefault="00F93343" w:rsidP="00B47658">
      <w:pPr>
        <w:jc w:val="both"/>
        <w:rPr>
          <w:rFonts w:ascii="Arabic Typesetting" w:hAnsi="Arabic Typesetting" w:cs="Arabic Typesetting" w:hint="cs"/>
          <w:color w:val="000000" w:themeColor="text1"/>
          <w:sz w:val="58"/>
          <w:szCs w:val="58"/>
          <w:rtl/>
        </w:rPr>
      </w:pPr>
    </w:p>
    <w:p w:rsidR="00F93343" w:rsidRPr="00F93343" w:rsidRDefault="00F93343" w:rsidP="00F93343">
      <w:pPr>
        <w:jc w:val="center"/>
        <w:rPr>
          <w:rFonts w:ascii="Arabic Typesetting" w:hAnsi="Arabic Typesetting" w:cs="Arabic Typesetting" w:hint="cs"/>
          <w:b/>
          <w:bCs/>
          <w:color w:val="000000" w:themeColor="text1"/>
          <w:sz w:val="58"/>
          <w:szCs w:val="58"/>
          <w:rtl/>
        </w:rPr>
      </w:pPr>
      <w:bookmarkStart w:id="0" w:name="_GoBack"/>
      <w:r w:rsidRPr="00F93343">
        <w:rPr>
          <w:rFonts w:ascii="Arabic Typesetting" w:hAnsi="Arabic Typesetting" w:cs="Arabic Typesetting" w:hint="cs"/>
          <w:b/>
          <w:bCs/>
          <w:color w:val="000000" w:themeColor="text1"/>
          <w:sz w:val="58"/>
          <w:szCs w:val="58"/>
          <w:rtl/>
        </w:rPr>
        <w:t>أعدها</w:t>
      </w:r>
    </w:p>
    <w:p w:rsidR="00F93343" w:rsidRPr="00F93343" w:rsidRDefault="00F93343" w:rsidP="00F93343">
      <w:pPr>
        <w:jc w:val="center"/>
        <w:rPr>
          <w:rFonts w:ascii="Arabic Typesetting" w:hAnsi="Arabic Typesetting" w:cs="Arabic Typesetting"/>
          <w:b/>
          <w:bCs/>
          <w:color w:val="000000" w:themeColor="text1"/>
          <w:sz w:val="58"/>
          <w:szCs w:val="58"/>
          <w:rtl/>
        </w:rPr>
      </w:pPr>
      <w:r w:rsidRPr="00F93343">
        <w:rPr>
          <w:rFonts w:ascii="Arabic Typesetting" w:hAnsi="Arabic Typesetting" w:cs="Arabic Typesetting" w:hint="cs"/>
          <w:b/>
          <w:bCs/>
          <w:color w:val="000000" w:themeColor="text1"/>
          <w:sz w:val="58"/>
          <w:szCs w:val="58"/>
          <w:rtl/>
        </w:rPr>
        <w:t>محمد فنخور العبدلي</w:t>
      </w:r>
    </w:p>
    <w:bookmarkEnd w:id="0"/>
    <w:p w:rsidR="00485DE3" w:rsidRPr="0073220A" w:rsidRDefault="00485DE3" w:rsidP="00E215C2">
      <w:pPr>
        <w:jc w:val="both"/>
        <w:rPr>
          <w:rFonts w:ascii="Arabic Typesetting" w:hAnsi="Arabic Typesetting" w:cs="Arabic Typesetting"/>
          <w:color w:val="000000" w:themeColor="text1"/>
          <w:sz w:val="58"/>
          <w:szCs w:val="58"/>
          <w:rtl/>
        </w:rPr>
      </w:pPr>
    </w:p>
    <w:sectPr w:rsidR="00485DE3" w:rsidRPr="0073220A" w:rsidSect="00F93343">
      <w:pgSz w:w="11906" w:h="16838" w:code="9"/>
      <w:pgMar w:top="567" w:right="851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5A"/>
    <w:rsid w:val="00071767"/>
    <w:rsid w:val="00084B0B"/>
    <w:rsid w:val="001779C7"/>
    <w:rsid w:val="00197375"/>
    <w:rsid w:val="001B64D9"/>
    <w:rsid w:val="00233F81"/>
    <w:rsid w:val="00297E8D"/>
    <w:rsid w:val="003E4905"/>
    <w:rsid w:val="004027BF"/>
    <w:rsid w:val="00450B16"/>
    <w:rsid w:val="00485DE3"/>
    <w:rsid w:val="004F7458"/>
    <w:rsid w:val="00505E96"/>
    <w:rsid w:val="00525390"/>
    <w:rsid w:val="0063548F"/>
    <w:rsid w:val="006C42A4"/>
    <w:rsid w:val="006D6B79"/>
    <w:rsid w:val="0073220A"/>
    <w:rsid w:val="00786BE8"/>
    <w:rsid w:val="007C688F"/>
    <w:rsid w:val="007D2719"/>
    <w:rsid w:val="00873B80"/>
    <w:rsid w:val="00940C03"/>
    <w:rsid w:val="00B207A2"/>
    <w:rsid w:val="00B47658"/>
    <w:rsid w:val="00BA0A5A"/>
    <w:rsid w:val="00CA1B43"/>
    <w:rsid w:val="00D54066"/>
    <w:rsid w:val="00E035B2"/>
    <w:rsid w:val="00E215C2"/>
    <w:rsid w:val="00EC2B6C"/>
    <w:rsid w:val="00F93343"/>
    <w:rsid w:val="00FC6B2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2015-06-17T12:30:00Z</cp:lastPrinted>
  <dcterms:created xsi:type="dcterms:W3CDTF">2015-06-17T09:12:00Z</dcterms:created>
  <dcterms:modified xsi:type="dcterms:W3CDTF">2015-06-17T12:42:00Z</dcterms:modified>
</cp:coreProperties>
</file>